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cs="仿宋"/>
          <w:sz w:val="36"/>
          <w:szCs w:val="36"/>
        </w:rPr>
      </w:pPr>
    </w:p>
    <w:p>
      <w:pPr>
        <w:rPr>
          <w:rFonts w:ascii="仿宋" w:hAnsi="仿宋" w:eastAsia="仿宋" w:cs="仿宋"/>
        </w:rPr>
      </w:pPr>
    </w:p>
    <w:p>
      <w:pPr>
        <w:jc w:val="center"/>
        <w:rPr>
          <w:rFonts w:ascii="仿宋" w:hAnsi="仿宋" w:eastAsia="仿宋" w:cs="仿宋"/>
        </w:rPr>
      </w:pPr>
    </w:p>
    <w:p>
      <w:pPr>
        <w:jc w:val="center"/>
        <w:rPr>
          <w:rFonts w:ascii="仿宋" w:hAnsi="仿宋" w:eastAsia="仿宋" w:cs="仿宋"/>
        </w:rPr>
      </w:pPr>
    </w:p>
    <w:p>
      <w:pPr>
        <w:jc w:val="center"/>
        <w:rPr>
          <w:rFonts w:ascii="仿宋" w:hAnsi="仿宋" w:eastAsia="仿宋" w:cs="仿宋"/>
        </w:rPr>
      </w:pPr>
    </w:p>
    <w:p>
      <w:pPr>
        <w:jc w:val="center"/>
        <w:rPr>
          <w:rFonts w:ascii="仿宋" w:hAnsi="仿宋" w:eastAsia="仿宋" w:cs="仿宋"/>
          <w:b/>
          <w:bCs/>
          <w:sz w:val="56"/>
          <w:szCs w:val="72"/>
        </w:rPr>
      </w:pPr>
      <w:r>
        <w:rPr>
          <w:rFonts w:hint="eastAsia" w:ascii="仿宋" w:hAnsi="仿宋" w:eastAsia="仿宋" w:cs="仿宋"/>
          <w:b/>
          <w:bCs/>
          <w:sz w:val="56"/>
          <w:szCs w:val="72"/>
        </w:rPr>
        <w:t>开源安全与合规治理平台 安全检测报告</w:t>
      </w:r>
    </w:p>
    <w:p>
      <w:pPr>
        <w:jc w:val="center"/>
        <w:rPr>
          <w:rFonts w:ascii="仿宋" w:hAnsi="仿宋" w:eastAsia="仿宋" w:cs="仿宋"/>
        </w:rPr>
      </w:pPr>
    </w:p>
    <w:p>
      <w:pPr>
        <w:jc w:val="center"/>
        <w:rPr>
          <w:rFonts w:ascii="仿宋" w:hAnsi="仿宋" w:eastAsia="仿宋" w:cs="仿宋"/>
        </w:rPr>
      </w:pPr>
    </w:p>
    <w:p>
      <w:pPr>
        <w:jc w:val="center"/>
        <w:rPr>
          <w:rFonts w:ascii="仿宋" w:hAnsi="仿宋" w:eastAsia="仿宋" w:cs="仿宋"/>
          <w:sz w:val="28"/>
          <w:szCs w:val="28"/>
          <w:u w:val="single"/>
        </w:rPr>
      </w:pPr>
      <w:r>
        <w:rPr>
          <w:rFonts w:hint="eastAsia" w:ascii="仿宋" w:hAnsi="仿宋" w:eastAsia="仿宋" w:cs="仿宋"/>
          <w:b/>
          <w:bCs/>
          <w:sz w:val="28"/>
          <w:szCs w:val="28"/>
          <w:u w:val="single"/>
          <w:lang w:val="en-US" w:eastAsia="zh-Hans"/>
        </w:rPr>
        <w:t>项目名称</w:t>
      </w:r>
      <w:r>
        <w:rPr>
          <w:rFonts w:hint="eastAsia" w:ascii="仿宋" w:hAnsi="仿宋" w:eastAsia="仿宋" w:cs="仿宋"/>
          <w:b/>
          <w:bCs/>
          <w:sz w:val="28"/>
          <w:szCs w:val="28"/>
          <w:u w:val="single"/>
        </w:rPr>
        <w:t>：${projectName}</w:t>
      </w:r>
      <w:bookmarkStart w:id="7" w:name="_GoBack"/>
      <w:bookmarkEnd w:id="7"/>
    </w:p>
    <w:p>
      <w:pPr>
        <w:jc w:val="center"/>
        <w:rPr>
          <w:rFonts w:hint="default" w:ascii="仿宋" w:hAnsi="仿宋" w:eastAsia="仿宋" w:cs="仿宋"/>
          <w:b/>
          <w:bCs/>
          <w:sz w:val="28"/>
          <w:szCs w:val="28"/>
          <w:u w:val="single"/>
        </w:rPr>
      </w:pPr>
    </w:p>
    <w:p>
      <w:pPr>
        <w:jc w:val="center"/>
        <w:rPr>
          <w:rFonts w:ascii="仿宋" w:hAnsi="仿宋" w:eastAsia="仿宋" w:cs="仿宋"/>
          <w:sz w:val="28"/>
          <w:szCs w:val="28"/>
          <w:u w:val="single"/>
        </w:rPr>
      </w:pPr>
      <w:r>
        <w:rPr>
          <w:rFonts w:hint="eastAsia" w:ascii="仿宋" w:hAnsi="仿宋" w:eastAsia="仿宋" w:cs="仿宋"/>
          <w:b/>
          <w:bCs/>
          <w:sz w:val="28"/>
          <w:szCs w:val="28"/>
          <w:u w:val="single"/>
        </w:rPr>
        <w:t>创建时间：</w:t>
      </w:r>
      <w:r>
        <w:rPr>
          <w:rFonts w:hint="default" w:ascii="仿宋" w:hAnsi="仿宋" w:eastAsia="仿宋" w:cs="仿宋"/>
          <w:sz w:val="28"/>
          <w:szCs w:val="28"/>
          <w:u w:val="single"/>
        </w:rPr>
        <w:t>${createTime}</w:t>
      </w:r>
    </w:p>
    <w:p>
      <w:pPr>
        <w:jc w:val="center"/>
        <w:rPr>
          <w:rFonts w:ascii="仿宋" w:hAnsi="仿宋" w:eastAsia="仿宋" w:cs="仿宋"/>
          <w:sz w:val="28"/>
          <w:szCs w:val="28"/>
          <w:u w:val="single"/>
        </w:rPr>
      </w:pPr>
    </w:p>
    <w:p>
      <w:pPr>
        <w:rPr>
          <w:rFonts w:ascii="仿宋" w:hAnsi="仿宋" w:eastAsia="仿宋" w:cs="仿宋"/>
          <w:szCs w:val="28"/>
        </w:rPr>
      </w:pPr>
      <w:bookmarkStart w:id="0" w:name="_Toc525745192"/>
      <w:bookmarkStart w:id="1" w:name="_Toc525745231"/>
      <w:bookmarkStart w:id="2" w:name="_Toc525726762"/>
      <w:bookmarkStart w:id="3" w:name="_Toc525722779"/>
      <w:bookmarkStart w:id="4" w:name="_Toc525724753"/>
      <w:bookmarkStart w:id="5" w:name="_Toc525726735"/>
      <w:bookmarkStart w:id="6" w:name="_Toc525724777"/>
    </w:p>
    <w:p>
      <w:pPr>
        <w:rPr>
          <w:rFonts w:ascii="仿宋" w:hAnsi="仿宋" w:eastAsia="仿宋" w:cs="仿宋"/>
          <w:szCs w:val="28"/>
        </w:rPr>
      </w:pPr>
    </w:p>
    <w:p>
      <w:pPr>
        <w:rPr>
          <w:rFonts w:ascii="仿宋" w:hAnsi="仿宋" w:eastAsia="仿宋" w:cs="仿宋"/>
          <w:szCs w:val="28"/>
        </w:rPr>
      </w:pPr>
    </w:p>
    <w:p>
      <w:pPr>
        <w:rPr>
          <w:rFonts w:ascii="仿宋" w:hAnsi="仿宋" w:eastAsia="仿宋" w:cs="仿宋"/>
          <w:szCs w:val="28"/>
        </w:rPr>
      </w:pPr>
    </w:p>
    <w:p>
      <w:pPr>
        <w:rPr>
          <w:rFonts w:ascii="仿宋" w:hAnsi="仿宋" w:eastAsia="仿宋" w:cs="仿宋"/>
          <w:szCs w:val="28"/>
        </w:rPr>
      </w:pPr>
    </w:p>
    <w:p>
      <w:pPr>
        <w:rPr>
          <w:rFonts w:ascii="仿宋" w:hAnsi="仿宋" w:eastAsia="仿宋" w:cs="仿宋"/>
          <w:szCs w:val="28"/>
        </w:rPr>
      </w:pPr>
    </w:p>
    <w:p>
      <w:pPr>
        <w:rPr>
          <w:rFonts w:ascii="仿宋" w:hAnsi="仿宋" w:eastAsia="仿宋" w:cs="仿宋"/>
          <w:szCs w:val="28"/>
        </w:rPr>
      </w:pPr>
    </w:p>
    <w:p>
      <w:pPr>
        <w:rPr>
          <w:rFonts w:ascii="仿宋" w:hAnsi="仿宋" w:eastAsia="仿宋" w:cs="仿宋"/>
          <w:szCs w:val="28"/>
        </w:rPr>
      </w:pPr>
    </w:p>
    <w:p>
      <w:pPr>
        <w:rPr>
          <w:rFonts w:ascii="仿宋" w:hAnsi="仿宋" w:eastAsia="仿宋" w:cs="仿宋"/>
          <w:szCs w:val="28"/>
        </w:rPr>
      </w:pPr>
    </w:p>
    <w:p>
      <w:pPr>
        <w:rPr>
          <w:rFonts w:ascii="仿宋" w:hAnsi="仿宋" w:eastAsia="仿宋" w:cs="仿宋"/>
          <w:szCs w:val="28"/>
        </w:rPr>
      </w:pPr>
    </w:p>
    <w:p>
      <w:pPr>
        <w:rPr>
          <w:rFonts w:ascii="仿宋" w:hAnsi="仿宋" w:eastAsia="仿宋" w:cs="仿宋"/>
          <w:szCs w:val="28"/>
        </w:rPr>
      </w:pPr>
    </w:p>
    <w:p>
      <w:pPr>
        <w:rPr>
          <w:rFonts w:ascii="仿宋" w:hAnsi="仿宋" w:eastAsia="仿宋" w:cs="仿宋"/>
          <w:szCs w:val="28"/>
        </w:rPr>
      </w:pPr>
    </w:p>
    <w:p>
      <w:pPr>
        <w:pStyle w:val="3"/>
        <w:numPr>
          <w:ilvl w:val="0"/>
          <w:numId w:val="1"/>
        </w:numPr>
        <w:rPr>
          <w:rFonts w:ascii="仿宋" w:hAnsi="仿宋" w:eastAsia="仿宋" w:cs="仿宋"/>
        </w:rPr>
      </w:pPr>
      <w:r>
        <w:rPr>
          <w:rFonts w:hint="eastAsia" w:ascii="仿宋" w:hAnsi="仿宋" w:eastAsia="仿宋" w:cs="仿宋"/>
          <w:bCs w:val="0"/>
          <w:szCs w:val="28"/>
        </w:rPr>
        <w:t>检测结果概览</w:t>
      </w:r>
    </w:p>
    <w:p>
      <w:pPr>
        <w:ind w:firstLine="420" w:firstLineChars="200"/>
        <w:rPr>
          <w:rFonts w:ascii="仿宋" w:hAnsi="仿宋" w:eastAsia="仿宋"/>
        </w:rPr>
      </w:pPr>
      <w:r>
        <w:rPr>
          <w:rFonts w:hint="eastAsia" w:ascii="仿宋" w:hAnsi="仿宋" w:eastAsia="仿宋"/>
        </w:rPr>
        <w:t>openioctopus-octopus项目共有开源组件数1,062个，开源组件漏洞报警数为178个，项目安全评估为严重风险，其中严重漏洞16个，高危漏洞64个，中危漏洞86个，低危漏洞12</w:t>
      </w:r>
    </w:p>
    <w:p>
      <w:pPr>
        <w:rPr>
          <w:rFonts w:ascii="仿宋" w:hAnsi="仿宋" w:eastAsia="仿宋" w:cs="仿宋"/>
        </w:rPr>
      </w:pPr>
    </w:p>
    <w:p>
      <w:pPr>
        <w:pStyle w:val="3"/>
        <w:numPr>
          <w:ilvl w:val="0"/>
          <w:numId w:val="1"/>
        </w:numPr>
        <w:rPr>
          <w:rFonts w:ascii="仿宋" w:hAnsi="仿宋" w:eastAsia="仿宋" w:cs="仿宋"/>
          <w:bCs w:val="0"/>
          <w:szCs w:val="28"/>
        </w:rPr>
      </w:pPr>
      <w:r>
        <w:rPr>
          <w:rFonts w:hint="eastAsia" w:ascii="仿宋" w:hAnsi="仿宋" w:eastAsia="仿宋" w:cs="仿宋"/>
          <w:bCs w:val="0"/>
          <w:szCs w:val="28"/>
        </w:rPr>
        <w:t>漏洞警告详情</w:t>
      </w:r>
    </w:p>
    <w:p>
      <w:pPr>
        <w:rPr>
          <w:b/>
          <w:bCs/>
          <w:sz w:val="24"/>
          <w:szCs w:val="28"/>
        </w:rPr>
      </w:pPr>
      <w:r>
        <w:rPr>
          <w:rFonts w:hint="eastAsia"/>
          <w:b/>
          <w:bCs/>
          <w:sz w:val="24"/>
          <w:szCs w:val="28"/>
        </w:rPr>
        <w:t>2.1</w:t>
      </w:r>
      <w:r>
        <w:rPr>
          <w:b/>
          <w:bCs/>
          <w:sz w:val="24"/>
          <w:szCs w:val="28"/>
        </w:rPr>
        <w:t xml:space="preserve"> </w:t>
      </w:r>
      <w:r>
        <w:rPr>
          <w:rFonts w:hint="eastAsia"/>
          <w:b/>
          <w:bCs/>
          <w:sz w:val="24"/>
          <w:szCs w:val="28"/>
        </w:rPr>
        <w:t>直接引用组件漏洞警告详情</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6"/>
        <w:gridCol w:w="3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jc w:val="left"/>
              <w:rPr>
                <w:rFonts w:ascii="仿宋" w:hAnsi="仿宋" w:eastAsia="仿宋" w:cs="仿宋"/>
                <w:b/>
                <w:bCs/>
              </w:rPr>
            </w:pPr>
            <w:r>
              <w:rPr>
                <w:rFonts w:hint="eastAsia" w:ascii="仿宋" w:hAnsi="仿宋" w:eastAsia="仿宋" w:cs="仿宋"/>
              </w:rPr>
              <w:t>/octopus-7e4gY1JTG0/octopus/inference-server/pytorch-server/requirements.txt    mlflow@-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不安全的临时文件(CVE-2022-0736)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mlflow是一个简化机器学习开发的平台，包括跟踪实验、将代码打包成可重现的运行以及共享和部署模型。
此软件包的受影响版本容易受到不安全临时文件的攻击，该文件使用不安全的已弃用函数tempfile.mktemp()，因为不同的进程可能会在调用mktemp()和尝试创建文件之间创建具有此名称的文件。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0000"/>
          </w:tcPr>
          <w:p>
            <w:pPr>
              <w:jc w:val="left"/>
              <w:rPr>
                <w:rFonts w:ascii="仿宋" w:hAnsi="仿宋" w:eastAsia="仿宋" w:cs="仿宋"/>
                <w:b/>
                <w:bCs/>
              </w:rPr>
            </w:pPr>
            <w:r>
              <w:rPr>
                <w:rFonts w:hint="eastAsia" w:ascii="仿宋" w:hAnsi="仿宋" w:eastAsia="仿宋" w:cs="仿宋"/>
              </w:rPr>
              <w:t>/octopus-7e4gY1JTG0/octopus/admin-portal/package.json    swiper@5.3.6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原型污染(CVE-2021-23370)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swiper是最现代的移动触摸滑块和框架，具有硬件加速过渡
该软件包的受影响版本容易受到原型污染。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jc w:val="left"/>
              <w:rPr>
                <w:rFonts w:ascii="仿宋" w:hAnsi="仿宋" w:eastAsia="仿宋" w:cs="仿宋"/>
                <w:b/>
                <w:bCs/>
              </w:rPr>
            </w:pPr>
            <w:r>
              <w:rPr>
                <w:rFonts w:hint="eastAsia" w:ascii="仿宋" w:hAnsi="仿宋" w:eastAsia="仿宋" w:cs="仿宋"/>
              </w:rPr>
              <w:t>/octopus-7e4gY1JTG0/octopus/controller/nodeagent/go.mod    gopkg.in/yaml.v2@v2.4.0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(CVE-2022-28948)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受影响版本的此包容易受到拒绝服务(DoS)。
通过Unmarshal函数，该函数会导致程序在试图反序列化无效输入时崩溃。
PoC:
package main
import (
    "gopkg.in/yaml.v3"
)
func main() {
    var t interface{}
    yaml.Unmarshal([]byte("0: [:!00 \xef"), &amp;t)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jc w:val="left"/>
              <w:rPr>
                <w:rFonts w:ascii="仿宋" w:hAnsi="仿宋" w:eastAsia="仿宋" w:cs="仿宋"/>
                <w:b/>
                <w:bCs/>
              </w:rPr>
            </w:pPr>
            <w:r>
              <w:rPr>
                <w:rFonts w:hint="eastAsia" w:ascii="仿宋" w:hAnsi="仿宋" w:eastAsia="仿宋" w:cs="仿宋"/>
              </w:rPr>
              <w:t>/octopus-7e4gY1JTG0/octopus/server/go.mod    gopkg.in/yaml.v2@v2.4.0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(CVE-2022-28948)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受影响版本的此包容易受到拒绝服务(DoS)。
通过Unmarshal函数，该函数会导致程序在试图反序列化无效输入时崩溃。
PoC:
package main
import (
    "gopkg.in/yaml.v3"
)
func main() {
    var t interface{}
    yaml.Unmarshal([]byte("0: [:!00 \xef"), &amp;t)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jc w:val="left"/>
              <w:rPr>
                <w:rFonts w:ascii="仿宋" w:hAnsi="仿宋" w:eastAsia="仿宋" w:cs="仿宋"/>
                <w:b/>
                <w:bCs/>
              </w:rPr>
            </w:pPr>
            <w:r>
              <w:rPr>
                <w:rFonts w:hint="eastAsia" w:ascii="仿宋" w:hAnsi="仿宋" w:eastAsia="仿宋" w:cs="仿宋"/>
              </w:rPr>
              <w:t>/octopus-7e4gY1JTG0/octopus/admin-portal/package.json    axios@0.18.1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 (ReDoS)(CVE-2021-3749)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axios是用于浏览器和Node.js的基于Promise的HTTP客户端。
此软件包的受影响版本容易通过修剪功能受到正则表达式拒绝服务(ReDoS)的攻击。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服务器端请求伪造（SSRF）(CVE-2020-28168)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axios是用于浏览器和node.js的基于Promise的HTTP客户端。
此程序包的受影响版本容易受到服务器端请求伪造（SSRF）的攻击。 攻击者可以通过提供URL来绕过代理，该URL以重定向到受限主机或IP地址的方式响应。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0000"/>
          </w:tcPr>
          <w:p>
            <w:pPr>
              <w:jc w:val="left"/>
              <w:rPr>
                <w:rFonts w:ascii="仿宋" w:hAnsi="仿宋" w:eastAsia="仿宋" w:cs="仿宋"/>
                <w:b/>
                <w:bCs/>
              </w:rPr>
            </w:pPr>
            <w:r>
              <w:rPr>
                <w:rFonts w:hint="eastAsia" w:ascii="仿宋" w:hAnsi="仿宋" w:eastAsia="仿宋" w:cs="仿宋"/>
              </w:rPr>
              <w:t>/octopus-7e4gY1JTG0/octopus/inference-server/pytorch-server/requirements.txt    numpy@-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执行任意代码(CVE-2019-6446)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numpy是使用Python进行科学计算所需的基本软件包。此程序包的受影响版本容易受到任意代码执行的影响。它不安全地使用pickle Python模块，允许远程攻击者通过精心设计的序列化对象执行任意代码，如numpy.load调用所示。南石汇的PoC:import numpyfrom numpy import __version__print __version__import osimport  pickleclass Test(object):    def __init__(self):        self.a = 1    def __reduce__(self):        return (os.system,('ls',))tmpdaa = Test()with open("a-file.pickle",'wb') as f:    pickle.dump(tmpdaa,f)numpy.load('a-file.pickle')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拒绝服务（DoS）(CVE-2017-12852)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numpy是一个用Python进行科学计算的软件包。由于缺少输入验证，此程序包的受影响版本容易受到拒绝服务（DoS）攻击。空列表或数组将陷入无限循环。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符号链接攻击(CVE-2014-1859)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numpy是使用Python进行科学计算所需的软件包。此程序包的受影响版本容易受到符号链接攻击。它允许本地用户通过对临时文件的符号链接攻击来写入任意文件。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符号链接攻击(CVE-2014-1858)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numpy是数字，字符串，记录和对象的数组处理。此程序包的受影响版本容易受到定时攻击。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空指针废弃(CVE-2021-41495)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umpy是使用Python进行科学计算所需的基础包。由于PyArray_DescrNew函数中缺少返回值验证，此包的受影响版本容易受到NULL指针取消引用的影响，这可能允许攻击者通过重复创建和排序数组来进行拒绝服务攻击。注意:这可能仅在应用程序内存已用完时才会发生，因为它需要 PyArray_DescrNew的newdescr对象。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缓冲区溢出(CVE-2021-41496)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numpy是使用Python进行科学计算所需的基础包。由于 fortranobject.c的array_from_pyobj函数中缺少边界检查，因此该软件包的受影响版本容易受到缓冲区溢出的影响。这可能允许攻击者通过小心地构造一个带有负值的数组来进行拒绝服务。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拒绝服务(DoS)(CVE-2021-34141)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numpy是使用Python进行科学计算所需的基础包。由于 numpy.core组件中的字符串比较不完整，此软件包的受影响版本容易受到拒绝服务(DoS)的攻击，这可能允许攻击者通过构造特定的字符串对象使API失败。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缓冲区溢出(CVE-2021-33430)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numpy是使用Python进行科学计算所需的基本包。
当从Python代码指定大维度（超过32）的数组时，此包的受影响版本容易受到ctors.c的PyArray_NewFromDescr_int函数中的缓冲区溢出的影响。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jc w:val="left"/>
              <w:rPr>
                <w:rFonts w:ascii="仿宋" w:hAnsi="仿宋" w:eastAsia="仿宋" w:cs="仿宋"/>
                <w:b/>
                <w:bCs/>
              </w:rPr>
            </w:pPr>
            <w:r>
              <w:rPr>
                <w:rFonts w:hint="eastAsia" w:ascii="仿宋" w:hAnsi="仿宋" w:eastAsia="仿宋" w:cs="仿宋"/>
              </w:rPr>
              <w:t>/octopus-7e4gY1JTG0/octopus/admin-portal/package.json    node-sass@4.14.1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空指针解除引用(CVE-2018-11694)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此程序包的受影响版本容易受到NULL指针取消引用的影响。通过3.5.4在LibSass中发现了一个问题。在函数Sass :: Functions :: selector_append中发现了NULL指针取消引用，攻击者可能利用它来导致拒绝服务（应用程序崩溃）或可能产生未指定的其他影响。 node-sass由于捆绑使用libsass而受此漏洞的影响。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释放后使用(CVE-2018-19827)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此软件包的受影响版本很容易释放使用
通过SharedPtr.cpp（或SharedPtr.hpp）中的SharedPtr类，可能导致拒绝服务（应用程序崩溃）或可能产生未指定的其他影响。注意:node-sass由于捆绑使用libsass软件包而受此漏洞影响。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越界(CVE-2019-6283)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该软件包的受影响版本容易受到边界限制。 prelexer.hpp中的Sass :: Prelexer :: parenthese_scope中存在基于堆的缓冲区过度读取。 node-sass由于捆绑使用libsass而受此漏洞的影响。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空指针废弃(CVE-2019-18799)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此程序包的受影响版本容易受到NULL指针取消引用的影响
通过Sass::Parser::parseCompoundSelector在parser_selectors.cpp中。注意: node-sass由于捆绑使用libsass软件包而受此漏洞影响。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越界(CVE-2019-6284)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此软件包的受影响版本很容易通过prelexer.hpp中的Sass :: Prelexer :: alternatives超出范围。注意:node-sass由于捆绑使用libsass软件包而受此漏洞影响。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越界读取(CVE-2019-18798)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该软件包的受影响版本容易受到ast_sel_weave.cpp中通过Sass :: weaveParents读取的越界攻击的影响。注意:node-sass由于捆绑使用libsass软件包而受此漏洞影响。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不受控制的递归(CVE-2019-18797)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该软件包的受影响版本很容易通过eval.cpp中的Sass :: Eval :: operator（）（Sass :: Binary_Expression *）不受控制地进行递归。注意:node-sass由于捆绑使用libsass软件包而受此漏洞影响。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越界读取(CVE-2018-19839)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node-sass是一个用于libsass的Node.js绑定包。
此包的受影响版本容易受到越界读取的影响。sass_context.cpp中的函数handle_error允许攻击者通过精心制作的sass文件导致基于堆的缓冲区过度读取而导致拒绝服务。注意:node-sass因捆绑使用libsass包而受此漏洞影响。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拒绝服务（DoS）(CVE-2018-20822)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此软件包的受影响版本容易受到拒绝服务（DoS）的攻击。
ast.hpp中的Sass::Complex_Selector::perform和inspect.cpp中的Sass::Inspect::operator可以进行不受控制的递归。注意:node-sass由于捆绑使用libsass软件包而受此漏洞影响。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证书验证不正确(CVE-2020-24025)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此软件包的受影响版本容易受到证书验证不正确的影响。请求二进制文件时，即使用户未指定备用下载路径，默认情况下也会禁用证书验证。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0000"/>
          </w:tcPr>
          <w:p>
            <w:pPr>
              <w:jc w:val="left"/>
              <w:rPr>
                <w:rFonts w:ascii="仿宋" w:hAnsi="仿宋" w:eastAsia="仿宋" w:cs="仿宋"/>
                <w:b/>
                <w:bCs/>
              </w:rPr>
            </w:pPr>
            <w:r>
              <w:rPr>
                <w:rFonts w:hint="eastAsia" w:ascii="仿宋" w:hAnsi="仿宋" w:eastAsia="仿宋" w:cs="仿宋"/>
              </w:rPr>
              <w:t>/octopus-7e4gY1JTG0/octopus/openai-portal/package.json    npm@3.0.0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远程代码执行(RCE)(CVE-2021-43616)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npm是JavaScript的包管理器。
此软件包的受影响版本容易受到通过npm ci命令进行远程代码执行(RCE)的攻击，即使package-lock.json中的依赖项信息与package.json不同，该命令也会继续安装。这使得攻击者更容易安装本应被package-lock.json中的精确版本匹配要求阻止的恶意软件。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任意文件写入(CVE-2019-16776)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npm是JavaScript的软件包管理器。
该软件包的受影响版本容易受到任意文件写入的影响。它无法阻止通过bin字段访问预期的node_modules文件夹之外的文件夹。
对于npm，在package.json bin字段中适当构造的条目将允许程序包发布者在安装程序包时修改和/或访问用户系统上的任意文件。通过安装脚本可以实现此行为。此漏洞使用--ignore-scripts安装选项绕过了用户。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访问限制绕过(CVE-2018-7408)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npm是JavaScript的包管理器。
此包的受影响版本易受访问限制绕过攻击。
它可能允许本地用户绕过预期的文件系统访问限制，因为/etc和/usr目录的所有权正在意外更改，这与“correctMkdir”问题有关。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令牌泄漏(CVE-2016-3956)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受影响的`npm`软件包版本在CLI发出的每个请求中都包含登录用户的承载令牌，即使该请求不是针对用户的活动注册表。攻击者可以创建一个HTTP服务器来收集令牌，并通过各种方式（包括但不限于安装脚本）使npm CLI向该服务器发出请求，这将破坏用户的令牌。用户可以做的任何事情，包括发布新软件包。##建议1。用`npm install npm @ latest -g`2更新npm。 [撤消您的令牌]（https://www.npmjs.com/settings/tokens）3。启用[双重身份验证]（https://docs.npmjs.com/getting-started/using-two-factor-authentication）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任意文件覆盖(CVE-2019-16777)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npm是JavaScript的软件包管理器。
该软件包的受影响版本容易受到任意文件覆盖的影响。它无法防止现有的全局安装二进制文件被其他软件包安装覆盖。例如，如果在全球范围内安装了一个软件包并创建了服务二进制文件，则随后还会创建服务二进制文件的软件包的任何后续安装都将覆盖第一个二进制文件。这仅影响/usr/local/bin中的文件。
对于npm，在本地安装以及通过安装脚本仍然允许此行为。此漏洞使用--ignore-scripts安装选项绕过了用户。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未经授权的文件访问(CVE-2019-16775)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npm是JavaScript的软件包管理器。
该软件包的受影响版本容易受到未经授权的文件访问的影响。包可能会在安装时通过bin字段创建指向thenode_modules文件夹之外的文件的符号链接。
对于npm，在package.json bin字段中适当构造的条目将允许程序包发布者在安装程序包时创建指向用户系统上任意文件的符号链接。通过安装脚本可以实现此行为。此漏洞使用--ignore-scripts安装选项绕过了用户。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npm代币泄漏(lj-npm-544744-9005233)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此漏洞可能导致承载令牌的意外泄漏。
npm注册表中的设计缺陷使攻击者可以设置可以收集身份验证信息的HTTP服务器，然后使用此身份验证信息来模拟收集了其令牌的用户。攻击者可以执行受感染用户的所有操作，包括发布新版本的软件包。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将敏感信息插入日志文件(CVE-2020-15095)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npm是JavaScript的软件包管理器。
该程序包的受影响版本很容易将敏感信息插入日志文件。 CLI支持URL，例如&lt;协议&gt;://[&lt;用户&gt; [:&lt;密码&gt;] @] &lt;主机名&gt; [:&lt;端口&gt;] [:] [/] &lt;路径&gt;。 密码值未编辑，并打印到stdout以及任何生成的日志文件中。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任意文件写入(lj-npm-544744-9015878)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低危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6.13.3之前的npm CLI版本容易受到任意文件写入的攻击。它无法阻止通过bin字段访问预期的node_modules文件夹之外的文件夹。在package.json bin字段中正确构造的条目将允许程序包发布者在安装程序包时在用户系统上创建文件。只能影响运行“npm install”的用户有权访问的文件，并且不可能覆盖磁盘上已存在的文件。
通过安装脚本仍然可能出现此现象。此漏洞使用--ignore-scripts安装选项绕过了用户。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全局node_modules二进制覆盖(lj-npm-544744-9015890)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低危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6.13.4之前的npm CLI版本容易受到全局node_modules二进制覆盖的影响。它无法防止现有的全局安装二进制文件被其他软件包安装覆盖。
例如，如果全局安装了一个软件包并创建了一个`serve`二进制文件，则随后创建的所有软件包也都将创建一个`serve`二进制文件，这将覆盖第一个二进制文件。这不会覆盖系统二进制文件，而只会覆盖放入全局node_modules目录中的二进制文件。
在本地安装和安装脚本中仍然允许此行为。此漏洞使用--ignore-scripts安装选项绕过了用户。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jc w:val="left"/>
              <w:rPr>
                <w:rFonts w:ascii="仿宋" w:hAnsi="仿宋" w:eastAsia="仿宋" w:cs="仿宋"/>
                <w:b/>
                <w:bCs/>
              </w:rPr>
            </w:pPr>
            <w:r>
              <w:rPr>
                <w:rFonts w:hint="eastAsia" w:ascii="仿宋" w:hAnsi="仿宋" w:eastAsia="仿宋" w:cs="仿宋"/>
              </w:rPr>
              <w:t>/octopus-7e4gY1JTG0/octopus/openai-portal/package.json    node-sass@4.14.1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空指针解除引用(CVE-2018-11694)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此程序包的受影响版本容易受到NULL指针取消引用的影响。通过3.5.4在LibSass中发现了一个问题。在函数Sass :: Functions :: selector_append中发现了NULL指针取消引用，攻击者可能利用它来导致拒绝服务（应用程序崩溃）或可能产生未指定的其他影响。 node-sass由于捆绑使用libsass而受此漏洞的影响。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释放后使用(CVE-2018-19827)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此软件包的受影响版本很容易释放使用
通过SharedPtr.cpp（或SharedPtr.hpp）中的SharedPtr类，可能导致拒绝服务（应用程序崩溃）或可能产生未指定的其他影响。注意:node-sass由于捆绑使用libsass软件包而受此漏洞影响。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越界(CVE-2019-6283)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该软件包的受影响版本容易受到边界限制。 prelexer.hpp中的Sass :: Prelexer :: parenthese_scope中存在基于堆的缓冲区过度读取。 node-sass由于捆绑使用libsass而受此漏洞的影响。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空指针废弃(CVE-2019-18799)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此程序包的受影响版本容易受到NULL指针取消引用的影响
通过Sass::Parser::parseCompoundSelector在parser_selectors.cpp中。注意: node-sass由于捆绑使用libsass软件包而受此漏洞影响。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越界(CVE-2019-6284)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此软件包的受影响版本很容易通过prelexer.hpp中的Sass :: Prelexer :: alternatives超出范围。注意:node-sass由于捆绑使用libsass软件包而受此漏洞影响。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越界读取(CVE-2019-18798)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该软件包的受影响版本容易受到ast_sel_weave.cpp中通过Sass :: weaveParents读取的越界攻击的影响。注意:node-sass由于捆绑使用libsass软件包而受此漏洞影响。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不受控制的递归(CVE-2019-18797)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该软件包的受影响版本很容易通过eval.cpp中的Sass :: Eval :: operator（）（Sass :: Binary_Expression *）不受控制地进行递归。注意:node-sass由于捆绑使用libsass软件包而受此漏洞影响。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越界读取(CVE-2018-19839)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node-sass是一个用于libsass的Node.js绑定包。
此包的受影响版本容易受到越界读取的影响。sass_context.cpp中的函数handle_error允许攻击者通过精心制作的sass文件导致基于堆的缓冲区过度读取而导致拒绝服务。注意:node-sass因捆绑使用libsass包而受此漏洞影响。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拒绝服务（DoS）(CVE-2018-20822)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此软件包的受影响版本容易受到拒绝服务（DoS）的攻击。
ast.hpp中的Sass::Complex_Selector::perform和inspect.cpp中的Sass::Inspect::operator可以进行不受控制的递归。注意:node-sass由于捆绑使用libsass软件包而受此漏洞影响。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证书验证不正确(CVE-2020-24025)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node-sass是libsass的Node.js绑定包。
此软件包的受影响版本容易受到证书验证不正确的影响。请求二进制文件时，即使用户未指定备用下载路径，默认情况下也会禁用证书验证。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jc w:val="left"/>
              <w:rPr>
                <w:rFonts w:ascii="仿宋" w:hAnsi="仿宋" w:eastAsia="仿宋" w:cs="仿宋"/>
                <w:b/>
                <w:bCs/>
              </w:rPr>
            </w:pPr>
            <w:r>
              <w:rPr>
                <w:rFonts w:hint="eastAsia" w:ascii="仿宋" w:hAnsi="仿宋" w:eastAsia="仿宋" w:cs="仿宋"/>
              </w:rPr>
              <w:t>/octopus-7e4gY1JTG0/octopus/server/volcano/go.mod    gopkg.in/yaml.v2@v2.2.8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(CVE-2022-28948)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受影响版本的此包容易受到拒绝服务(DoS)。
通过Unmarshal函数，该函数会导致程序在试图反序列化无效输入时崩溃。
PoC:
package main
import (
    "gopkg.in/yaml.v3"
)
func main() {
    var t interface{}
    yaml.Unmarshal([]byte("0: [:!00 \xef"), &amp;t)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jc w:val="left"/>
              <w:rPr>
                <w:rFonts w:ascii="仿宋" w:hAnsi="仿宋" w:eastAsia="仿宋" w:cs="仿宋"/>
                <w:b/>
                <w:bCs/>
              </w:rPr>
            </w:pPr>
            <w:r>
              <w:rPr>
                <w:rFonts w:hint="eastAsia" w:ascii="仿宋" w:hAnsi="仿宋" w:eastAsia="仿宋" w:cs="仿宋"/>
              </w:rPr>
              <w:t>/octopus-7e4gY1JTG0/octopus/server/go.mod    github.com/dgrijalva/jwt-go@v3.2.0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访问限制绕过(CVE-2020-26160)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github.com/dgrijalva/jwt-go是JSON Web Tokens的go实现。
如果m["aud"]恰好是[]string{}，则此软件包的受影响版本容易受到访问限制绕过的影响，如规范所允许的，类型断言失败并且aud的值为""。即使通过的受众不正确，如果required设置为false，这也可能导致受众验证成功。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jc w:val="left"/>
              <w:rPr>
                <w:rFonts w:ascii="仿宋" w:hAnsi="仿宋" w:eastAsia="仿宋" w:cs="仿宋"/>
                <w:b/>
                <w:bCs/>
              </w:rPr>
            </w:pPr>
            <w:r>
              <w:rPr>
                <w:rFonts w:hint="eastAsia" w:ascii="仿宋" w:hAnsi="仿宋" w:eastAsia="仿宋" w:cs="仿宋"/>
              </w:rPr>
              <w:t>/octopus-7e4gY1JTG0/octopus/server/volcano/go.mod    k8s.io/kubernetes@v1.19.6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远程代码执行 (RCE)(lj-go-2549582-9020887)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k8s.io/kubernetes是一个生产级容器调度和管理。
此软件包的受影响版本通过运行kubectl book容易受到远程代码执行(RCE)的攻击，因为Dockerfile命令之一是 curl -sL https://deb.nodesource.com/setup_11.x | 重击。控制硬编码URL的恶意行为者可以在那里托管恶意代码，这些代码将通过上述命令在受害者系统上运行。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符号链接文件覆盖(CVE-2021-25741)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k8s.io/kubernetes生产级容器调度和管理。
此软件包的受影响版本容易受到符号链接文件覆盖的影响。 符号链接交换可以允许主机文件系统访问。 在kubernetes中发现了一个缺陷，授权用户可以创建带有精心制作的子路径卷挂载的pod，以访问卷外的文件和目录，包括主机节点的文件系统上的文件和目录。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中间人（MitM）(CVE-2020-8554)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k8s.io/kubernetes是生产级的容器调度和管理。
该软件包的受影响版本容易受到中间人（MitM）的攻击。能够创建ClusterIP服务并设置spec.externalIPs字段的攻击者可以拦截到该IP的流量。能够修补LoadBalancer服务状态（通常被认为是特权操作，通常不应授予用户）的攻击者可以将status.loadBalancer.ingress.ip设置为类似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打开重定向(CVE-2020-8561)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k8s.io/kubernetes是生产级容器调度和管理。
此软件包的受影响版本容易受到OpenRedirect的攻击。控制MutatingWebhookConfiguration或ValidatingWebhookConfiguration请求响应的参与者能够将kube-apiserver请求重定向到apiserver的私有网络。如果该用户可以在日志级别设置为10时查看kube-apiserver日志，则他们可以查看日志中的重定向响应和标头。
此漏洞需要将-v日志级别设置为至少10并在kube-apiserver上启用--profiling才能被利用。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Kubernetes 中不允许输入的不完整列表(CVE-2021-25737)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在Kubernetes中发现了一个安全问题，用户可能能够将pod流量重定向到节点上的专用网络。Kubernetes已经阻止在localhost或本地链路范围内创建端点IP，但未对EndpointSliceIP执行相同的验证。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授权错误(CVE-2021-25735)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在kube-apiserver中发现了一个安全问题，该问题可能允许节点更新绕过Validating Admission Webhook。集群只有在运行Validating Admission Webhook for Nodes时才会受到此漏洞的影响，该Webhook至少部分基于Node对象的旧状态拒绝准入。验证Admission Webhook不会观察之前的一些字段。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Kubernetes中的混淆代理问题(CVE-2021-25740)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低危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Kubernetes发现了一个安全问题，该问题可能使用户能够通过混淆的代理攻击将网络流量发送到他们原本无法访问的位置。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Kubernetes中潜在的代理IP限制绕过(CVE-2020-8562)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低危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作为对2019年和CVE-2020-8555报告的缓解措施，Kubernetes在与服务、Pod、节点或StorageClass服务提供商建立用户驱动的连接时，会尝试阻止代理连接访问本地链接或本地主机网络。作为此缓解措施的一部分，Kubernetes进行DNS名称解析检查并验证响应IP不在链接本地(169.254.0.0/16)或本地主机(127.0.0.0/8)范围内。Kubernetes然后执行第二次DNS解析，而不验证实际连接。 如果非标准的DNS服务器返回不同的非缓存响应，用户可能能够绕过代理IP限制，访问控制平面上的私有网络。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0000"/>
          </w:tcPr>
          <w:p>
            <w:pPr>
              <w:jc w:val="left"/>
              <w:rPr>
                <w:rFonts w:ascii="仿宋" w:hAnsi="仿宋" w:eastAsia="仿宋" w:cs="仿宋"/>
                <w:b/>
                <w:bCs/>
              </w:rPr>
            </w:pPr>
            <w:r>
              <w:rPr>
                <w:rFonts w:hint="eastAsia" w:ascii="仿宋" w:hAnsi="仿宋" w:eastAsia="仿宋" w:cs="仿宋"/>
              </w:rPr>
              <w:t>/octopus-7e4gY1JTG0/octopus/openai-portal/package.json    swiper@5.3.6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原型污染(CVE-2021-23370)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swiper是最现代的移动触摸滑块和框架，具有硬件加速过渡
该软件包的受影响版本容易受到原型污染。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jc w:val="left"/>
              <w:rPr>
                <w:rFonts w:ascii="仿宋" w:hAnsi="仿宋" w:eastAsia="仿宋" w:cs="仿宋"/>
                <w:b/>
                <w:bCs/>
              </w:rPr>
            </w:pPr>
            <w:r>
              <w:rPr>
                <w:rFonts w:hint="eastAsia" w:ascii="仿宋" w:hAnsi="仿宋" w:eastAsia="仿宋" w:cs="仿宋"/>
              </w:rPr>
              <w:t>/octopus-7e4gY1JTG0/octopus/openai-portal/package.json    axios@0.18.1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 (ReDoS)(CVE-2021-3749)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axios是用于浏览器和Node.js的基于Promise的HTTP客户端。
此软件包的受影响版本容易通过修剪功能受到正则表达式拒绝服务(ReDoS)的攻击。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服务器端请求伪造（SSRF）(CVE-2020-28168)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axios是用于浏览器和node.js的基于Promise的HTTP客户端。
此程序包的受影响版本容易受到服务器端请求伪造（SSRF）的攻击。 攻击者可以通过提供URL来绕过代理，该URL以重定向到受限主机或IP地址的方式响应。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jc w:val="left"/>
              <w:rPr>
                <w:rFonts w:ascii="仿宋" w:hAnsi="仿宋" w:eastAsia="仿宋" w:cs="仿宋"/>
                <w:b/>
                <w:bCs/>
              </w:rPr>
            </w:pPr>
            <w:r>
              <w:rPr>
                <w:rFonts w:hint="eastAsia" w:ascii="仿宋" w:hAnsi="仿宋" w:eastAsia="仿宋" w:cs="仿宋"/>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0000"/>
          </w:tcPr>
          <w:p>
            <w:pPr>
              <w:jc w:val="left"/>
              <w:rPr>
                <w:rFonts w:ascii="仿宋" w:hAnsi="仿宋" w:eastAsia="仿宋" w:cs="仿宋"/>
                <w:b/>
                <w:bCs/>
              </w:rPr>
            </w:pPr>
            <w:r>
              <w:rPr>
                <w:rFonts w:hint="eastAsia" w:ascii="仿宋" w:hAnsi="仿宋" w:eastAsia="仿宋" w:cs="仿宋"/>
              </w:rPr>
              <w:t>/octopus-7e4gY1JTG0/octopus/admin-portal/package.json    npm@3.0.0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远程代码执行(RCE)(CVE-2021-43616)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npm是JavaScript的包管理器。
此软件包的受影响版本容易受到通过npm ci命令进行远程代码执行(RCE)的攻击，即使package-lock.json中的依赖项信息与package.json不同，该命令也会继续安装。这使得攻击者更容易安装本应被package-lock.json中的精确版本匹配要求阻止的恶意软件。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任意文件写入(CVE-2019-16776)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npm是JavaScript的软件包管理器。
该软件包的受影响版本容易受到任意文件写入的影响。它无法阻止通过bin字段访问预期的node_modules文件夹之外的文件夹。
对于npm，在package.json bin字段中适当构造的条目将允许程序包发布者在安装程序包时修改和/或访问用户系统上的任意文件。通过安装脚本可以实现此行为。此漏洞使用--ignore-scripts安装选项绕过了用户。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访问限制绕过(CVE-2018-7408)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npm是JavaScript的包管理器。
此包的受影响版本易受访问限制绕过攻击。
它可能允许本地用户绕过预期的文件系统访问限制，因为/etc和/usr目录的所有权正在意外更改，这与“correctMkdir”问题有关。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令牌泄漏(CVE-2016-3956)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受影响的`npm`软件包版本在CLI发出的每个请求中都包含登录用户的承载令牌，即使该请求不是针对用户的活动注册表。攻击者可以创建一个HTTP服务器来收集令牌，并通过各种方式（包括但不限于安装脚本）使npm CLI向该服务器发出请求，这将破坏用户的令牌。用户可以做的任何事情，包括发布新软件包。##建议1。用`npm install npm @ latest -g`2更新npm。 [撤消您的令牌]（https://www.npmjs.com/settings/tokens）3。启用[双重身份验证]（https://docs.npmjs.com/getting-started/using-two-factor-authentication）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任意文件覆盖(CVE-2019-16777)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npm是JavaScript的软件包管理器。
该软件包的受影响版本容易受到任意文件覆盖的影响。它无法防止现有的全局安装二进制文件被其他软件包安装覆盖。例如，如果在全球范围内安装了一个软件包并创建了服务二进制文件，则随后还会创建服务二进制文件的软件包的任何后续安装都将覆盖第一个二进制文件。这仅影响/usr/local/bin中的文件。
对于npm，在本地安装以及通过安装脚本仍然允许此行为。此漏洞使用--ignore-scripts安装选项绕过了用户。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未经授权的文件访问(CVE-2019-16775)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npm是JavaScript的软件包管理器。
该软件包的受影响版本容易受到未经授权的文件访问的影响。包可能会在安装时通过bin字段创建指向thenode_modules文件夹之外的文件的符号链接。
对于npm，在package.json bin字段中适当构造的条目将允许程序包发布者在安装程序包时创建指向用户系统上任意文件的符号链接。通过安装脚本可以实现此行为。此漏洞使用--ignore-scripts安装选项绕过了用户。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npm代币泄漏(lj-npm-544744-9005233)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此漏洞可能导致承载令牌的意外泄漏。
npm注册表中的设计缺陷使攻击者可以设置可以收集身份验证信息的HTTP服务器，然后使用此身份验证信息来模拟收集了其令牌的用户。攻击者可以执行受感染用户的所有操作，包括发布新版本的软件包。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将敏感信息插入日志文件(CVE-2020-15095)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npm是JavaScript的软件包管理器。
该程序包的受影响版本很容易将敏感信息插入日志文件。 CLI支持URL，例如&lt;协议&gt;://[&lt;用户&gt; [:&lt;密码&gt;] @] &lt;主机名&gt; [:&lt;端口&gt;] [:] [/] &lt;路径&gt;。 密码值未编辑，并打印到stdout以及任何生成的日志文件中。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任意文件写入(lj-npm-544744-9015878)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低危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6.13.3之前的npm CLI版本容易受到任意文件写入的攻击。它无法阻止通过bin字段访问预期的node_modules文件夹之外的文件夹。在package.json bin字段中正确构造的条目将允许程序包发布者在安装程序包时在用户系统上创建文件。只能影响运行“npm install”的用户有权访问的文件，并且不可能覆盖磁盘上已存在的文件。
通过安装脚本仍然可能出现此现象。此漏洞使用--ignore-scripts安装选项绕过了用户。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全局node_modules二进制覆盖(lj-npm-544744-9015890)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低危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6.13.4之前的npm CLI版本容易受到全局node_modules二进制覆盖的影响。它无法防止现有的全局安装二进制文件被其他软件包安装覆盖。
例如，如果全局安装了一个软件包并创建了一个`serve`二进制文件，则随后创建的所有软件包也都将创建一个`serve`二进制文件，这将覆盖第一个二进制文件。这不会覆盖系统二进制文件，而只会覆盖放入全局node_modules目录中的二进制文件。
在本地安装和安装脚本中仍然允许此行为。此漏洞使用--ignore-scripts安装选项绕过了用户。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修复方案：</w:t>
            </w:r>
          </w:p>
          <w:p>
            <w:pPr>
              <w:ind w:firstLine="840" w:firstLineChars="4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b/>
                <w:bCs/>
              </w:rPr>
            </w:pPr>
            <w:r>
              <w:rPr>
                <w:rFonts w:hint="eastAsia" w:ascii="仿宋" w:hAnsi="仿宋" w:eastAsia="仿宋" w:cs="仿宋"/>
                <w:b/>
                <w:bCs/>
              </w:rPr>
              <w:t>注：修复方案只作安全版本推荐，组件升级或替换后的兼容性需详细测试。</w:t>
            </w:r>
          </w:p>
        </w:tc>
      </w:tr>
    </w:tbl>
    <w:p>
      <w:pPr>
        <w:rPr>
          <w:rFonts w:ascii="仿宋" w:hAnsi="仿宋" w:eastAsia="仿宋" w:cs="仿宋"/>
        </w:rPr>
      </w:pPr>
    </w:p>
    <w:p>
      <w:pPr>
        <w:rPr>
          <w:rFonts w:ascii="仿宋" w:hAnsi="仿宋" w:eastAsia="仿宋" w:cs="仿宋"/>
        </w:rPr>
      </w:pPr>
    </w:p>
    <w:p>
      <w:pPr>
        <w:rPr>
          <w:b/>
          <w:bCs/>
          <w:sz w:val="24"/>
          <w:szCs w:val="28"/>
        </w:rPr>
      </w:pPr>
      <w:r>
        <w:rPr>
          <w:rFonts w:hint="eastAsia"/>
          <w:b/>
          <w:bCs/>
          <w:sz w:val="24"/>
          <w:szCs w:val="28"/>
        </w:rPr>
        <w:t>2.2</w:t>
      </w:r>
      <w:r>
        <w:rPr>
          <w:b/>
          <w:bCs/>
          <w:sz w:val="24"/>
          <w:szCs w:val="28"/>
        </w:rPr>
        <w:t xml:space="preserve"> </w:t>
      </w:r>
      <w:r>
        <w:rPr>
          <w:rFonts w:hint="eastAsia"/>
          <w:b/>
          <w:bCs/>
          <w:sz w:val="24"/>
          <w:szCs w:val="28"/>
        </w:rPr>
        <w:t>间接引用组件漏洞警告详情</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6"/>
        <w:gridCol w:w="3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ajv@6.10.0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原型污染(CVE-2020-15366)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ajv是另一个JSON模式验证器
该软件包的受影响版本容易受到原型污染。 可以提供精心设计的JSON模式，该模式允许因原型污染而执行其他代码。 （尽管建议使用不可信模式，但最不可信模式的情况应该是拒绝服务，而不是执行代码。）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stylelint@7.9.0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正则表达式拒绝服务(重做)(lj-npm-550131-9021882)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stylelint剥绒机,可以帮助你避免错误和执行约定在你的风格。影响正则表达式版本的这个包很容易拒绝服务(重做)。发现foundIndents正则表达式允许指数回溯。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stylelint@7.9.0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正则表达式拒绝服务(ReDoS)(lj-npm-550131-9003461)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stylelint是一个lint，可以帮助您避免错误并在样式中强制执行约定。
此软件包的受影响版本容易受到正则表达式拒绝服务（ReDoS）的攻击。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插件目录的权限限制不足(CVE-2021-41103)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
＃＃＃影响
在containerd中发现了一个错误，其中容器根目录和一些插件的权限限制不足，允许其他没有特权的Linux用户遍历目录内容并执行程序。当容器包含具有扩展权限位（例如setuid）的可执行程序时，非特权Linux用户可以发现并执行这些程序。当主机上非特权Linux用户的UID与容器内的文件所有者或组发生冲突时，主机上的非特权Linux用户可以发现、读取和修改这些文件。
###补丁
该漏洞已在containerd1.4.11和containerd1.5.7中修复。用户应在发布时更新到这些版本，并可能会重新启动容器或更新目录权限以缓解漏洞。
###解决方法
将主机访问权限限制为受信任的用户。更新容器包目录的目录权限。
＃＃＃想要查询更多的信息
如果您对本公告有任何疑问或意见:
在[github.com/containerd/containerd](https://github.com/containerd/containerd/issues/new/choose)中打开一个问题
*给我们发电子邮件[security@containerd.io](mailto:security@containerd.io)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containerd CRI插件：image volumes的不安全处理(CVE-2022-23648)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 影响
在containerd中发现了一个错误，通过containerd的CRI实现启动的容器具有特制的图像配置，可以访问主机上任意文件和目录的只读副本。这可能会绕过对容器设置的任何基于策略的强制执行（包括Kubernetes Pod安全策略）并暴露潜在的敏感信息。Kubernetes和crictl都可以配置为使用containerd的CRI实现。
### 补丁
此错误已在containerd 1.6.1、1.5.10和1.4.13中修复。用户应更新到这些版本以解决问题。
### 解决方法
确保仅使用受信任的图像。
### 致谢
containerd项目要感谢Google Project Zero的Felix Wilhelm根据 [containerd 安全政策] (https://github.com/containerd/project/blob/main/SECURITY.md) 负责任地披露此问题。
＃＃＃ 了解更多信息
如果您对本公告有任何问题或意见:
* 在 [containerd](https://github.com/containerd/containerd/issues/new/choose) 中打开一个问题
* 发送电子邮件至 [security@containerd.io](mailto:security@containerd.io)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Archive包允许在解压目标目录之外对文件进行chmod(CVE-2021-32760)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 影响
在containerd中发现了一个错误，其中提取和提取特制容器映像可能会导致主机文件系统中现有文件的Unix文件权限更改。对文件权限的更改可以拒绝对文件的预期所有者的访问，扩大对其他人的访问，或设置扩展位，如setuid、setgid和sticky。此错误不允许在没有额外合作进程的情况下直接读取、修改或执行文件。
## 补丁
此错误已在containerd 1.5.4和1.4.8中修复。用户应在这些版本发布后立即更新到这些版本。正在运行的容器不需要重新启动。
## 解决方法
确保您只从受信任的来源提取图像。
SELinux和AppArmor等Linux安全模块(LSM)可以通过阻止容器与意外文件交互的策略和配置文件来限制可能受此错误影响的文件。
＃＃ 了解更多信息
如果您对本公告有任何问题或意见:
* [打开一个问题](https://github.com/containerd/containerd/issues/new/choose)
* 如果您认为自己发现了安全漏洞，请发送电子邮件至 security@containerd.io。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containerd CRI 插件：通过 ExecSync 耗尽主机内存(CVE-2022-31030)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影响
在 containerd 的 CRI 实现中发现了一个错误，其中容器内的程序可能导致 containerd 守护进程在调用ExecSyncAPI 期间无限制地消耗内存。这可能会导致 containerd 消耗计算机上的所有可用内存，从而拒绝为其他合法工作负载提供服务。Kubernetes 和 crictl 都可以配置为使用 containerd 的 CRI 实现；ExecSync可以在运行探针或通过“exec”工具执行进程时使用。
补丁
此错误已在 containerd 1.6.6 和 1.5.13 中修复。用户应更新到这些版本以解决问题。
解决方法
确保仅使用受信任的图像和命令。
参考
cri-o 的 CRI 实现GHSA-fcm2-6c3h-pg6j中的类似修复
学分
containerd 项目要感谢 ADA Logics 的 David Korczynski 和 Adam Korczynski 在CNCF 赞助并由 OSTIF 协助的安全审计期间根据容器安全政策负责任地披露了此问题。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操作系统命令中使用的特殊元素的不正确中和（“操作系统命令注入”）(CVE-2022-31030)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在 github.com/containerd/containerd 中的 OS 命令（“OS 命令注入”）中使用的特殊元素的不正确中和。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模糊的OCI清单解析(lj-go-2231648-9023351)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低危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＃＃＃影响
在OCI分发规范版本1.0.0及之前版本以及OCI图像规范版本1.0.1及之前版本中，清单和索引文档是不明确的，没有随附的Content-TypeHTTP标头。1.4.12和1.5.8之前的containerd版本将Content-Type标头视为受信任的，并根据该标头反序列化文档。如果Content-Type标头在同一歧义文档（具有相同摘要）的拉取之间发生变化，则文档可能被不同地解释，这意味着仅摘要不足以明确识别图像的内容。
###补丁
此问题已在containerd1.4.12和1.5.8中修复。包含“manifests”字段或包含“layers”字段的索引的清单的图像拉取被拒绝。
###解决方法
确保您只从受信任的来源提取图像。
＃＃＃参考
https://github.com/opencontainers/distribution-spec/security/advisories/GHSA-mc8v-mgrf-8f4m
https://github.com/opencontainers/image-spec/security/advisories/GHSA-77vh-xpmg-72qh
＃＃＃想要查询更多的信息
如果您对本公告有任何问题或意见:
*在[containerd](https://github.com/containerd/containerd/issues/new/choose)中打开一个问题
*给我们发电子邮件[security@containerd.io](mailto:security@containerd.io)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postcss@7.0.14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 (ReDoS)(CVE-2021-23368)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postcss是一个PostCSS是一个使用JS插件转换样式的工具。
此包的受影响版本在源映射解析期间容易受到正则表达式拒绝服务 (ReDoS) 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postcss@7.0.14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 (ReDoS)(CVE-2021-23382)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postcss是一个PostCSS。是使用JS插件转换样式的工具。
此软件包的受影响版本容易通过lib/previous-map.js中的getAnnotationURL()和loadAnnotation()受到正则表达式拒绝服务(ReDoS)的攻击。易受攻击的正则表达式主要由子模式 \/\*\s* 引起。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serialize-javascript@1.3.0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任意代码注入(CVE-2020-7660)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serialize-javascript是一个用于将JavaScript序列化为JSON超集的程序包，其中包括正则表达式和函数。
该软件包的受影响版本容易受到任意代码注入的攻击。 像{“ foo”:/1“/，” bar“:” a \\\\“ @__ R- &lt;UID&gt; -0 __ @”}这样的对象将被序列化为{“ foo”:/1“/，” bar“: “ a \\\\/1”/}，这意味着如果攻击者同时控制foo和bar并且能够猜测&lt;UID&gt;的值，则它可以逃脱bar。UID在启动时生成一次，可使用Math.random（ ），并且具有大约40亿的密钥空间，因此属于在线攻击的范围。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serialize-javascript@1.3.0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远程代码执行(lj-npm-553962-9016043)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在3.1.0之前的“serialize-javascript”允许远程攻击者通过“index.js”中的“deleteFunctions”函数注入任意代码。
对象如“{“foo”:/1”/“酒吧”:“\”@__R - &lt; UID &gt; 0 __@“}”是序列化为“{“foo”:/1”/“酒吧”:“\/1 "}’,它允许攻击者逃离酒吧的关键。这要求攻击者同时控制foo和bar的值，并猜测&lt;UID&gt;的值。UID的密钥空间约为40亿，这使它成为一种现实的网络攻击。
下面的概念验证在运行eval()时调用console.log():
“eval(”(' +序列化({“foo”:/1”+ console.log(1)/我,“酒吧”:“@__R - &lt; UID &gt; 0 __@ '}) +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serialize-javascript@1.3.0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跨站点脚本（XSS）(CVE-2019-16769)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serialize-javascript是一个用于将JavaScript序列化为JSON superset的程序包，其中包括正则表达式和函数。
此软件包的受影响版本容易受到跨站点脚本（XSS）的攻击。
它不能对序列化正则表达式中的不安全字符进行适当的清除。由于Node.js的RegExp.prototype.toString（）实现对正则表达式中的所有正斜杠进行反斜杠转义，因此此漏洞在Node.js环境上不受影响。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serialize-javascript@1.3.0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跨站点脚本（XSS）(CVE-2019-16772)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serialize-javascript是一个用于将JavaScript序列化为JSON超集的程序包，其中包括正则表达式和函数。
此软件包的受影响版本容易受到跨站点脚本（XSS）的攻击。
它不能对序列化正则表达式中的不安全字符进行适当的清除。由于Node.js的RegExp.prototype.toString（）实现对正则表达式中的所有正斜杠进行反斜杠转义，因此此漏洞在Node.js环境上不受影响。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terser@3.10.2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Terser 在 v4.8.1 和 v5.14.2 之前不安全地使用正则表达式会导致 ReDoS(CVE-2022-25858)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由于正则表达式的使用不安全，4.8.1 之前、5.0.0 和 5.14.2 之前的包 terser 容易受到正则表达式拒绝服务 (ReDoS) 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browserslist@4.5.4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正则表达式拒绝服务（ReDoS）(CVE-2021-23364)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browserslist是在不同的前端工具（例如Autoprefixer，Stylelint和babel-env-preset）之间共享目标浏览器
在查询解析期间，此软件包的受影响版本容易受到正则表达式拒绝服务（ReDoS）的攻击。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glob-parent@5.0.0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正则表达式拒绝服务（ReDoS）(CVE-2020-28469)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glob-parent是一个软件包，可帮助从glob字符串中提取非魔术父路径。
此软件包的受影响版本容易受到正则表达式拒绝服务（ReDoS）的攻击。附件正则表达式用于检查以包含路径分隔符的附件结尾的字符串。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glob-parent@5.0.0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 (ReDoS)(CVE-2021-35065)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glob-parent是一个帮助从全局字符串中提取非魔法父路径的包。
此软件包的受影响版本容易受到正则表达式拒绝服务 (ReDoS) 的攻击。机箱正则表达式中存在 ReDoS 漏洞。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github.com/opencontainers/runc@v0.1.1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可以通过symlink-exchange交换挂载目标，以在rootfs之外进行挂载(CVE-2021-30465)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runc 1.0.0-rc94和更早版本容易受到符号链接交换攻击，攻击者可以请求看似无害的容器配置，这实际上导致主机文件系统被绑定安装到容器中（允许容器逃逸）。已为此问题分配了CVE-2021-30465。
攻击者必须能够使用某种自定义卷配置启动容器，虽然推荐的容器强化机制（如 LSM (AppArmor/SELinux) 和用户命名空间）将限制攻击者可能造成的破坏量，但它们不会阻止这一点直接攻击。我们有一个使用Kubernetes的复制器（下面的描述提到了Kubernetes特定的路径），但这不是Kubernetes特定的问题。
现在发布的[runc v1.0.0-rc95][release]包含此问题的修复，我们
建议用户尽快更新。
[发布]:https://github.com/opencontainers/runc/releases/tag/v1.0.0-rc95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github.com/opencontainers/runc@v0.1.1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runc中的授权不正确(CVE-2019-16884)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runc到1.0.0-rc8，在Docker到19.03.2-ce和其他产品中使用，允许绕过AppArmor限制，因为libcontainer/rootfs_linux.go错误地检查挂载目标，因此恶意Docker映像可以挂载到/proc目录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github.com/opencontainers/runc@v0.1.1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访问控制不当(CVE-2022-29162)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此软件包的受影响版本易受不当访问控制的影响，其中 runc exec --cap 执行具有非空可继承 Linux 进程能力的进程，创建非典型 Linux 环境并启用具有可继承文件能力的程序在 execve 期间将这些能力提升到允许的集合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github.com/opencontainers/runc@v0.1.1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访问控制不当(CVE-2022-29162)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此软件包的受影响版本易受不当访问控制的影响，其中 runc exec --cap 执行具有非空可继承 Linux 进程能力的进程，创建非典型 Linux 环境并启用具有可继承文件能力的程序在 execve 期间将这些能力提升到允许的集合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github.com/opencontainers/runc@v0.1.1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netlink bytemsg长度字段中的溢出允许攻击者覆盖基于netlink的容器配置(CVE-2021-43784)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 影响
在runc中，[netlink](https://www.man7.org/linux/man-pages/man7/netlink.7.html) 在内部用作序列化系统，用于将相关容器配置指定到我们的 C 部分代码（负责基于容器的命名空间设置）。在 1.0.3 之前的所有 runc 版本中，编码器都没有处理字节数组属性类型的 16 位长度字段中整数溢出的可能性，这意味着足够大的恶意字节数组属性可能导致长度溢出并且属性内容被解析为容器配置的 netlink 消息。
该漏洞要求攻击者对容器的配置有一定的控制权，并允许攻击者通过简单地添加他们自己的禁用所有命名空间的 netlink 负载来绕过容器的命名空间限制。
在 9c444070ec7bb83995dbc0185da68284da71c554 之前，实际上很难为大多数容器运行时指定任意长度的 netlink 消息。唯一由用户控制的字节数组是命名空间路径属性，它可以在 runc 的 `config.json` 中指定，但据我们所知，没有容器运行时授予对该配置设置的原始访问权限——并且对该设置具有原始访问权限**无论如何都会允许攻击者完全禁用命名空间保护**（例如将它们设置为`/proc/1/ns/...`）。此外，每个命名空间路径限制为 4096 字节（目前 runc 仅支持 7 个命名空间），这意味着即使使用自定义命名空间路径，攻击者似乎仍然无法将足够的字节塞入 netlink bytemsg 以溢出 uint16 计数器.
但是，出于谨慎考虑（考虑到此错误的存在时间），我们决定将其视为具有低严重性的潜在可利用漏洞。在 9c444070ec7bb83995dbc0185da68284da71c554（在发现此错误之前，任何 runc 版本中都不存在）之后，所有挂载路径都包含为一条巨大的网络链接消息，这意味着此错误在更合理的威胁场景中变得更容易被利用。
受影响的主要用户是那些允许具有不受信任配置的不受信任映像在他们的机器上运行的用户（例如使用共享云基础设施），尽管如上所述，这个漏洞似乎在迄今为止的任何发布版本的runc上都无法实际利用。
###补丁
这个补丁是d72d057ba794164c3cce9451a00b72a78b25e1ae和runc1.0.3 已发布并修复了此错误。
### 解决方法
如果这是可利用的，在容器配置中禁止不受信任的命名空间路径应该可以消除利用此漏洞的所有实用方法。应该注意的是，即使没有此漏洞，不受信任的命名空间路径也会允许攻击者完全禁用命名空间保护。
＃＃＃ 参考
* 提交 d72d057ba794（“runc init:避免 netlink 消息长度溢出”）
* https://bugs.chromium.org/p/project-zero/issues/detail?id=2241
###致谢
感谢来自 Google Project Zero 的 Felix Wilhelm 发现并报告了这个漏洞。特别是，在我们发布 runc 1.1 版本之前（这本来很容易受到攻击），他们如此迅速地发现了这个漏洞这一事实令人印象深刻。
＃＃＃ 想要查询更多的信息
如果您对本公告有任何问题或意见:
* 在 [我们的 repo](https://github.com/opencontainers/runc) 中打开一个问题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github.com/opencontainers/runc@v0.1.1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RunC 中的信息公开(CVE-2016-9962)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RunC 允许通过 'runc exec' 的其他容器进程被容器的 pid 1 跟踪。 这允许容器的主进程（如果以 root 身份运行）在初始化期间获得对这些新进程的文件描述符的访问权限，并可能导致容器逃逸或在进程完全放入容器之前修改 runC 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github.com/opencontainers/runc@v0.1.1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默认情况下将设备资源列表视为黑名单(lj-go-2233283-9024700)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低危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 影响
与【OCI运行时规范】（https://github.com/opencontainers/runtime-spec/blob/v1.0.2/config-linux.md#device-whitelist）相反，`runc`对`linux的实现.resources.devices列表默认为黑名单。这意味着创建了自己的`config.json`对象并且没有前缀拒绝所有规则（`{allow: false, permissions: rwm}`或等效项）的用户没有被提供保护`devices` cgroup。这将允许恶意容器（具有足够权限）创建任意设备inode（假设它们具有 `CAP_MKNOD`）并在它们可能有权访问的任何设备inode上运行（假设它们具有常规的Unix DAC权限）。
但是，大多数（如果不是全部）使用 `runc` 的程序都包含此拒绝所有规则。这很可能是在规范强制要求设备白名单之前添加的，并且所有程序都编写了自己的全部拒绝规则这一事实掩盖了这个错误的存在好几年。事实上，即使是规范的示例也包含一个默认的全部拒绝规则！因此，我们认为，虽然这是一个安全漏洞（并且已经修复），但几乎可以肯定，由于所有已知的 `runc` 用户都包含默认的拒绝所有规则，因此它几乎肯定无法被利用——这就是为什么此建议的严重性较低。
### 补丁
此问题已在[一个补丁，该补丁是runc中设备cgroup代码的更大返工的一部分]（https://github.com/opencontainers/runc/pull/2391） - 这导致了这个问题的发现安全漏洞。用户应在1.0.0-rc91发布后立即升级，或等待您的发行版向后移植相关修复程序。
### 解决方法
如果您直接使用`runc`，请确保在`linux.resources.devices`的开头有一个deny-all条目——这样的条目看起来像{allow: false, permissions: rwm}`（所有其他字段都将被忽略，尽管`type`必须设置为`a`或`null`如果存在）。
通过另一个程序使用“runc”的用户应该检查他们的容器是否在白名单下运行——这可以通过读取容器内的“/sys/fs/cgroup/devices/devices.list”来完成。如果文件仅包含a *:* rwm（意味着cgroup处于黑名单模式，这可能意味着“允许所有设备访问”），那么您的容器容易受到此问题的影响。
与往常一样，我们强烈建议我们所有的用户在他们的所有工作负载上启用用户命名空间（或迫使他们的供应商这样做）。用户命名空间是您可以为容器启用的最重要的纵深防御保护之一，并且已经阻止了许多与容器相关的漏洞（包括内核 0days 以及容器运行时中的错误，例如这个）。
＃＃＃ 参考
* https://www.kernel.org/doc/html/latest/admin-guide/cgroup-v1/devices.html
* [opencontainers/runtime-spec/config-linux.md#device-whitelist](https://github.com/opencontainers/runtime-spec/blob/v1.0.2/config-linux.md#device-whitelist)
* https://github.com/opencontainers/runc/pull/2391
＃＃＃ 想要查询更多的信息
如果您对本公告有任何问题或意见:
* [在这个 repo 中打开一个问题](https://github.com/opencontainers/runc/issues/new)。
* 发送电子邮件至 &lt;security@opencontainers.org&gt;。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00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lodash.template@4.4.0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原型污染(CVE-2019-10744)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4.17.12之前的`lodash`版本容易受到原型污染。 函数defaultsDeep允许恶意用户通过{constructor:{prototype:{...}}}}修改Object的原型，从而增加或修改将存在于所有对象上的现有属性。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lodash.template@4.4.0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命令注入(CVE-2021-23337)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lodash.template是一个Lodash方法_.template，已导出为Node.js模块。
该软件包的受影响版本很容易通过模板进行命令注入。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github.com/containernetworking/cni@v0.8.0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输入验证不当(CVE-2021-20206)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在0.8.1之前的版本中，在containernetworking/cni中发现了路径名限制不当缺陷。在网络配置中的“类型”字段中指定要加载的插件时，可以使用特殊元素（例如“../”分隔符）来引用系统上其他地方的二进制文件。 此漏洞允许攻击者执行除cni插件/类型之外的其他现有二进制文件，例如“重启”。此漏洞的最大威胁是机密性、完整性以及系统可用性。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mocha@2.2.4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正则表达式拒绝服务(ReDoS)(lj-npm-150570-9012679)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mocha是node.js和浏览器的javascript测试框架。
此包的受影响版本易受正则表达式拒绝服务（重做）攻击。
如果utils.js中的堆栈跟踪以一条大错误消息（&gt;=20k个字符）开头，并且完整跟踪不是不可禁用的，则utils.stackTraceFilter（）将需要指数时间才能运行。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mocha@2.2.4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 (ReDoS)(lj-npm-150570-9028236)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mocha 是一个用于 node.js &amp; 的 javascript 测试框架。 浏览器。
此软件包的受影响版本容易受到 utils.js 中 clean 函数中的正则表达式拒绝服务 (ReDoS) 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vue@2.5.16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跨站点脚本（XSS）(CVE-2018-6341)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Vue是一个开放源码项目，其持续的开发完全是在这些优秀的支持者的支持下实现的。影响版本的这个包很容易跨站点脚本(XSS)攻击。任何将服务器端渲染与客户端渲染混合并包含以下模式的应用程序都可能受到影响:let props = {};props[userProvidedData] = \\\"hello\\\";let element = &lt;div {...props}/&gt;;let html = ReactDOMServer.renderToString(element);考虑到攻击者可能会影响userprovideddata，他们可以创建一个属性名来触发XSS漏洞，例如:&gt;&lt;/div&gt;&lt;script&gt;alert(\\\"hi\\\")&lt;/script&gt;`允许攻击者注入任意标记:&lt;div &gt;&lt;/div&gt;&lt;script&gt;alert(\\\"hi\\\")&lt;/script&gt;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CC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jasmine-core@2.99.0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正则表达式拒绝服务(ReDoS)(lj-npm-151062-9003551)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低危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jasmine-core是JavaScript的行为驱动开发测试框架。
此软件包的受影响版本容易受到正则表达式拒绝服务（ReDoS）的攻击。
它使用正则表达式（^\\\\s*function\\\\s*（\\\\w*）\\\\s*\\\\）来解析函数上的JS toString输出以获得函数名。这可能会对64K个字符长的数据造成大约10秒的匹配时间的影响。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jquery@2.1.1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原型污染(CVE-2019-11358)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jquery是一个JavaScript库。它使诸如HTML文档遍历和操作、事件处理、动画和Ajax之类的事情变得更加简单，因为它提供了一个易于使用的API，可以跨多种浏览器工作。
这个包的受影响版本容易受到原型污染。
当攻击者控制传递给该函数的结构的一部分时，可以欺骗扩展函数修改对象的原型。这可以让攻击者添加或修改将存在于所有对象上的现有属性。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jquery@2.1.1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原型污染(CVE-2019-5428)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jquery是一个JavaScript库。它使诸如HTML文档遍历和操作、事件处理、动画和Ajax之类的事情变得更加简单，因为它提供了一个易于使用的API，可以跨多种浏览器工作。
这个包的受影响版本容易受到原型污染。
当攻击者控制传递给该函数的结构的一部分时，可以欺骗扩展函数修改对象的原型。这可以让攻击者添加或修改将存在于所有对象上的现有属性。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jquery@2.1.1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跨站点脚本（XSS）(CVE-2017-16012)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jquery是DOM操作的JavaScript库。当执行跨域ajax请求而没有dataType选项导致执行文本/javascript响应时，受影响的程序包版本容易受到跨站点脚本（XSS）攻击。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jquery@2.1.1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跨站点脚本（XSS）(CVE-2020-11023)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jquery是一个程序包，它使用易于使用的API（可在多种浏览器中使用）来简化HTML文档的遍历和操作，事件处理，动画和Ajax之类的事情。
此软件包的受影响版本容易受到跨站点脚本（XSS）的攻击
将包含&lt;option&gt;元素的HTML从不受信任的源传递到-即使将其清除后，也传递给jQuery的DOM操作方法之一（即.html（）、. append（）和其他方法）可能会执行不受信任的代码。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jquery@2.1.1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跨站点脚本（XSS）(CVE-2020-11022)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jquery是一个程序包，它使用易于使用的API（可在多种浏览器中使用）来简化HTML文档的遍历和操作，事件处理，动画和Ajax之类的事情。
该软件包的受影响版本容易受到跨站点脚本（XSS）的攻击。
即使不对HTML进行消毒，也要从不受信任的来源传递HTML到jQuery的DOM操作方法之一（即.html（）、. append（）和其他方法），可能会执行不受信任的代码。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jquery@2.1.1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跨站点脚本(XSS)(CVE-2015-9251)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org.webjars:jquery是一个JavaScript库。
借助易于使用的API（可在多种浏览器中使用），使HTML文档的遍历和操作，事件处理，animation和Ajax等事情变得更加简单。
此软件包的受影响版本容易受到跨站点脚本（XSS）的攻击。
如果在没有dataType选项的情况下执行跨域Ajax请求而导致执行文本/JavaScript响应，则会引发攻击。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shelljs@0.8.1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权限管理不当(CVE-2022-0144)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shelljs是用于Node.js的Unix shell命令的包装器。此软件包的受影响版本容易受到不当权限管理的影响。当ShellJS用于创建可能以root身份运行的shell脚本时，在系统上具有低级权限的用户可以从特权进程的标准输出中泄漏敏感信息，例如密码（取决于实现）或通过以下方式关闭特权ShellJS进程触发EACCESS错误时的exec函数。
注意:Thi只影响shell.exec()的同步版本。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karma@3.1.1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跨站点脚本(XSS)(CVE-2022-0437)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karma是一个简单的工具，可让您在多个真实浏览器中执行JavaScript代码。
此软件包的受影响版本容易受到returnUrl查询参数中的跨站点脚本 (XSS) 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karma@3.1.1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开放的重定向(CVE-2021-23495)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karma是一个简单的工具，可让您在多个真实浏览器中执行JavaScript代码。
由于缺少对return_url查询参数的验证，此软件包的受影响版本容易受到Open Redirect的攻击。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browserslist@4.12.0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正则表达式拒绝服务（ReDoS）(CVE-2021-23364)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browserslist是在不同的前端工具（例如Autoprefixer，Stylelint和babel-env-preset）之间共享目标浏览器
在查询解析期间，此软件包的受影响版本容易受到正则表达式拒绝服务（ReDoS）的攻击。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CC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github.com/opencontainers/image-spec@v1.0.1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阐明`mediaType` 处理(lj-go-4418068-9023352)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低危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＃＃＃影响
在OCI图像规范1.0.1版和更早版本中，清单和索引文档不是自我描述的，具有单个摘要的文档可以解释为清单或索引。
###补丁
图像规范将更新以推荐清单和索引文档都包含一个“mediaType”字段来标识文档类型。
###解决方法
如果文件同时包含“manifests”和“layers”字段或“manifests”和“config”字段，则尝试反序列化模糊文档的软件可能会拒绝该文档。
＃＃＃参考
https://github.com/opencontainers/distribution-spec/security/advisories/GHSA-mc8v-mgrf-8f4m
＃＃＃想要查询更多的信息
如果您对本公告有任何问题或意见:
*在https://github.com/opencontainers/image-spec中打开一个问题
*给我们发电子邮件[security@opencontainers.org](mailto:security@opencontainers.org)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00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原型污染(CVE-2019-10744)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该软件包的受影响版本容易受到原型污染。 函数defaultsDeep可能被诱骗使用构造函数有效负载添加或修改Object.prototype的属性。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原型污染(lj-npm-150548-9014758)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由于对CVE-2020-8203的修复不完整，此软件包的受影响版本容易受到zipObjectDeep中的原型污染的影响。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lodash中的任意代码执行(CVE-2021-41720)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＃撤销
GitHub选择将此CVE作为撤回的公告发布，因为它不是安全问题。有关更多详细信息，请参阅[此问题](https://github.com/lodash/lodash/issues/5261)。
#CVE描述
"**DISPUTED**Lodash4.17.21中的一个命令注入漏洞允许攻击者通过模板函数实现任意代码执行。这是与CVE-2021-23337不同的参数、方法和版本。注意:供应商的立场是确保模板不会评估源自不受信任输入的代码是开发人员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原型污染(lj-npm-150548-9014889)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该软件包的受影响版本很容易通过setWith和set函数受到原型污染。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命令注入(CVE-2021-23337)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该软件包的受影响版本很容易通过模板进行命令注入。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原型污染(CVE-2020-8203)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lodash是一个提供模块化、性能和附加功能的现代JavaScript实用程序库。
此软件包的受影响版本容易受到原型污染。
zipObjectDeep函数可以被诱骗添加或修改对象原型的属性。这些属性将出现在所有对象上。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原型污染(CVE-2018-3721)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lodash是一个现代的JavaScript实用程序库，提供模块化，性能和其他功能。
该软件包的受影响版本容易受到原型污染。
实用程序功能允许修改对象原型。 如果攻击者可以控制传递给此函数的结构的一部分，则他们可以添加或修改现有属性。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原型污染(CVE-2018-16487)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新型的JavaScript实用程序库，提供模块化、性能和额外功能。此包的受影响版本容易受到原型污染。函数merge，mergeWith和defaultsDeep可能被欺骗添加或修改Object.prototype的属性。这是由于CVE-2018-3721的修复不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正则表达式拒绝服务(ReDoS)(CVE-2019-1010266)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lodash是一个新型的JavaScript实用程序库，提供模块化、性能和额外功能。此包的受影响版本易受正则表达式拒绝服务（Redos）的攻击。它使用regex字符串解析日期，这可能导致每50k字符2秒的速度减慢。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正则表达式拒绝服务（ReDoS）(CVE-2020-28500)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该软件包的受影响版本容易通过toNumber，trim和trimEnd函数受到正则表达式拒绝服务（ReDoS）的攻击。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k8s.io/kube-proxy@v0.15.7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权限提升(CVE-2020-8558)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k8s.io/kube-proxy是一个包应用程序，它负责配置和运行Kubernetes应用程序进程所需的所有工作。
此包的受影响版本易受权限升级的攻击。Kubernetes中发现了一个漏洞，该漏洞允许相邻网络上的攻击者访问本地主机端口上公开的服务，这些服务以前被认为是无法访问的。攻击者可以通过监听本地主机上的机密信息或不受此漏洞保护的端口上的任何机密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grunt@1.0.1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任意代码执行(CVE-2020-7729)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grunt是JavaScript任务运行程序。
由于默认使用函数load（）而不是对grunt.file.readYAML内的js-yaml包进行安全替换，因此该包的受影响版本容易受到任意代码执行的影响。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grunt@1.0.1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竞争条件(CVE-2022-1537)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grunt 是一个 JavaScript 任务运行器。
此软件包的受影响版本通过 file.copy 操作容易受到竞争条件的影响。 当攻击者可以在删除目标符号链接之后，但就在写入符号链接之前创建符号链接时，利用此漏洞会导致任意文件写入。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grunt@1.0.1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目录遍历(CVE-2022-0436)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grunt是一个JavaScript任务运行器。
如果本地攻击者对file.copy的源目录具有写入权限，则此软件包的受影响版本通过创建指向受限文件的符号链接容易受到目录遍历的攻击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插件目录的权限限制不足(CVE-2021-41103)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
＃＃＃影响
在containerd中发现了一个错误，其中容器根目录和一些插件的权限限制不足，允许其他没有特权的Linux用户遍历目录内容并执行程序。当容器包含具有扩展权限位（例如setuid）的可执行程序时，非特权Linux用户可以发现并执行这些程序。当主机上非特权Linux用户的UID与容器内的文件所有者或组发生冲突时，主机上的非特权Linux用户可以发现、读取和修改这些文件。
###补丁
该漏洞已在containerd1.4.11和containerd1.5.7中修复。用户应在发布时更新到这些版本，并可能会重新启动容器或更新目录权限以缓解漏洞。
###解决方法
将主机访问权限限制为受信任的用户。更新容器包目录的目录权限。
＃＃＃想要查询更多的信息
如果您对本公告有任何疑问或意见:
在[github.com/containerd/containerd](https://github.com/containerd/containerd/issues/new/choose)中打开一个问题
*给我们发电子邮件[security@containerd.io](mailto:security@containerd.io)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containerd CRI插件：image volumes的不安全处理(CVE-2022-23648)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 影响
在containerd中发现了一个错误，通过containerd的CRI实现启动的容器具有特制的图像配置，可以访问主机上任意文件和目录的只读副本。这可能会绕过对容器设置的任何基于策略的强制执行（包括Kubernetes Pod安全策略）并暴露潜在的敏感信息。Kubernetes和crictl都可以配置为使用containerd的CRI实现。
### 补丁
此错误已在containerd 1.6.1、1.5.10和1.4.13中修复。用户应更新到这些版本以解决问题。
### 解决方法
确保仅使用受信任的图像。
### 致谢
containerd项目要感谢Google Project Zero的Felix Wilhelm根据 [containerd 安全政策] (https://github.com/containerd/project/blob/main/SECURITY.md) 负责任地披露此问题。
＃＃＃ 了解更多信息
如果您对本公告有任何问题或意见:
* 在 [containerd](https://github.com/containerd/containerd/issues/new/choose) 中打开一个问题
* 发送电子邮件至 [security@containerd.io](mailto:security@containerd.io)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Host Network Containers中的 containerd-shim API暴露(CVE-2020-15257)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shim的API套接字的访问控制验证了连接进程的有效UID为0，但没有以其他方式限制对抽象Unix域套接字的访问。这将允许恶意容器在与shim相同的网络命名空间中运行，有效UID为0，但特权降低，从而导致新进程以提升的特权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Archive包允许在解压目标目录之外对文件进行chmod(CVE-2021-32760)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 影响
在containerd中发现了一个错误，其中提取和提取特制容器映像可能会导致主机文件系统中现有文件的Unix文件权限更改。对文件权限的更改可以拒绝对文件的预期所有者的访问，扩大对其他人的访问，或设置扩展位，如setuid、setgid和sticky。此错误不允许在没有额外合作进程的情况下直接读取、修改或执行文件。
## 补丁
此错误已在containerd 1.5.4和1.4.8中修复。用户应在这些版本发布后立即更新到这些版本。正在运行的容器不需要重新启动。
## 解决方法
确保您只从受信任的来源提取图像。
SELinux和AppArmor等Linux安全模块(LSM)可以通过阻止容器与意外文件交互的策略和配置文件来限制可能受此错误影响的文件。
＃＃ 了解更多信息
如果您对本公告有任何问题或意见:
* [打开一个问题](https://github.com/containerd/containerd/issues/new/choose)
* 如果您认为自己发现了安全漏洞，请发送电子邮件至 security@containerd.io。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containerd CRI 插件：通过 ExecSync 耗尽主机内存(CVE-2022-31030)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影响
在 containerd 的 CRI 实现中发现了一个错误，其中容器内的程序可能导致 containerd 守护进程在调用ExecSyncAPI 期间无限制地消耗内存。这可能会导致 containerd 消耗计算机上的所有可用内存，从而拒绝为其他合法工作负载提供服务。Kubernetes 和 crictl 都可以配置为使用 containerd 的 CRI 实现；ExecSync可以在运行探针或通过“exec”工具执行进程时使用。
补丁
此错误已在 containerd 1.6.6 和 1.5.13 中修复。用户应更新到这些版本以解决问题。
解决方法
确保仅使用受信任的图像和命令。
参考
cri-o 的 CRI 实现GHSA-fcm2-6c3h-pg6j中的类似修复
学分
containerd 项目要感谢 ADA Logics 的 David Korczynski 和 Adam Korczynski 在CNCF 赞助并由 OSTIF 协助的安全审计期间根据容器安全政策负责任地披露了此问题。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操作系统命令中使用的特殊元素的不正确中和（“操作系统命令注入”）(CVE-2022-31030)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在 github.com/containerd/containerd 中的 OS 命令（“OS 命令注入”）中使用的特殊元素的不正确中和。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github.com/containerd/containerd@v1.3.3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模糊的OCI清单解析(lj-go-2231648-9023351)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低危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＃＃＃影响
在OCI分发规范版本1.0.0及之前版本以及OCI图像规范版本1.0.1及之前版本中，清单和索引文档是不明确的，没有随附的Content-TypeHTTP标头。1.4.12和1.5.8之前的containerd版本将Content-Type标头视为受信任的，并根据该标头反序列化文档。如果Content-Type标头在同一歧义文档（具有相同摘要）的拉取之间发生变化，则文档可能被不同地解释，这意味着仅摘要不足以明确识别图像的内容。
###补丁
此问题已在containerd1.4.12和1.5.8中修复。包含“manifests”字段或包含“layers”字段的索引的清单的图像拉取被拒绝。
###解决方法
确保您只从受信任的来源提取图像。
＃＃＃参考
https://github.com/opencontainers/distribution-spec/security/advisories/GHSA-mc8v-mgrf-8f4m
https://github.com/opencontainers/image-spec/security/advisories/GHSA-77vh-xpmg-72qh
＃＃＃想要查询更多的信息
如果您对本公告有任何问题或意见:
*在[containerd](https://github.com/containerd/containerd/issues/new/choose)中打开一个问题
*给我们发电子邮件[security@containerd.io](mailto:security@containerd.io)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mocha@5.2.0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正则表达式拒绝服务(ReDoS)(lj-npm-150570-9012679)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mocha是node.js和浏览器的javascript测试框架。
此包的受影响版本易受正则表达式拒绝服务（重做）攻击。
如果utils.js中的堆栈跟踪以一条大错误消息（&gt;=20k个字符）开头，并且完整跟踪不是不可禁用的，则utils.stackTraceFilter（）将需要指数时间才能运行。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mocha@5.2.0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 (ReDoS)(lj-npm-150570-9028236)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mocha 是一个用于 node.js &amp; 的 javascript 测试框架。 浏览器。
此软件包的受影响版本容易受到 utils.js 中 clean 函数中的正则表达式拒绝服务 (ReDoS) 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(CVE-2022-28948)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受影响版本的此包容易受到拒绝服务(DoS)。
通过Unmarshal函数，该函数会导致程序在试图反序列化无效输入时崩溃。
PoC:
package main
import (
    "gopkg.in/yaml.v3"
)
func main() {
    var t interface{}
    yaml.Unmarshal([]byte("0: [:!00 \xef"), &amp;t)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(CVE-2022-28948)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受影响版本的此包容易受到拒绝服务(DoS)。
通过Unmarshal函数，该函数会导致程序在试图反序列化无效输入时崩溃。
PoC:
package main
import (
    "gopkg.in/yaml.v3"
)
func main() {
    var t interface{}
    yaml.Unmarshal([]byte("0: [:!00 \xef"), &amp;t)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拒绝服务（DoS）(CVE-2019-11254)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此软件包的受影响版本容易受到拒绝服务（DoS）的影响。授权用户可能会发送恶意的YAML有效负载，从而导致kube-apiserver在解析YAML时消耗过多的CPU周期。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拒绝服务 (DoS)(lj-go-2230372-9020815)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此软件包的受影响版本容易受到拒绝服务(DoS)的攻击。由于无限制的别名追逐，恶意制作的 YAML文件可能会导致系统消耗大量系统资源。如果解析用户输入，这可以用作拒绝服务向量。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XML实体扩张(lj-go-2230372-9022882)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未评级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go-yaml容易受到Billion Laughs 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ssri@7.1.0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 (ReDoS)(CVE-2021-27290)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ssri是一个标准的子资源完整性库——根据 SRI 规范解析、序列化、生成和验证完整性元数据。
此软件包的受影响版本容易受到正则表达式拒绝服务 (ReDoS) 的攻击。 ssri 使用容易受到拒绝服务攻击的正则表达式处理 SRI。恶意 SRI 可能需要很长时间来处理，从而导致拒绝服务。此问题仅影响使用严格选项的消费者。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00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原型污染(lj-npm-150548-9014758)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由于对CVE-2020-8203的修复不完整，此软件包的受影响版本容易受到zipObjectDeep中的原型污染的影响。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lodash中的任意代码执行(CVE-2021-41720)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＃撤销
GitHub选择将此CVE作为撤回的公告发布，因为它不是安全问题。有关更多详细信息，请参阅[此问题](https://github.com/lodash/lodash/issues/5261)。
#CVE描述
"**DISPUTED**Lodash4.17.21中的一个命令注入漏洞允许攻击者通过模板函数实现任意代码执行。这是与CVE-2021-23337不同的参数、方法和版本。注意:供应商的立场是确保模板不会评估源自不受信任输入的代码是开发人员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原型污染(lj-npm-150548-9014889)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该软件包的受影响版本很容易通过setWith和set函数受到原型污染。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命令注入(CVE-2021-23337)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该软件包的受影响版本很容易通过模板进行命令注入。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原型污染(CVE-2020-8203)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lodash是一个提供模块化、性能和附加功能的现代JavaScript实用程序库。
此软件包的受影响版本容易受到原型污染。
zipObjectDeep函数可以被诱骗添加或修改对象原型的属性。这些属性将出现在所有对象上。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正则表达式拒绝服务（ReDoS）(CVE-2020-28500)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该软件包的受影响版本容易通过toNumber，trim和trimEnd函数受到正则表达式拒绝服务（ReDoS）的攻击。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CC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jasmine-core@2.8.0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正则表达式拒绝服务(ReDoS)(lj-npm-151062-9003551)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低危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jasmine-core是JavaScript的行为驱动开发测试框架。
此软件包的受影响版本容易受到正则表达式拒绝服务（ReDoS）的攻击。
它使用正则表达式（^\\\\s*function\\\\s*（\\\\w*）\\\\s*\\\\）来解析函数上的JS toString输出以获得函数名。这可能会对64K个字符长的数据造成大约10秒的匹配时间的影响。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puppeteer@1.11.0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释放后使用(CVE-2019-5786)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puppeteer是一个节点库，它提供了一个高级API，通过devtools协议控制chrome或chromium。此软件包的受影响版本在免费使用后容易受到攻击（CVE-2019-5786）通过文件阅读器API的chromium实现的漏洞，可导致代码执行。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github.com/miekg/dns@v1.1.4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不安全的随机性(CVE-2019-19794)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github.com/miekg/dns是一个完整且可用的DNS库。
此软件包的受影响版本容易受到不安全随机性的影响。
因为使用了数学/rand，所以它不正确地生成随机数。TXID变得可预测，从而导致响应伪造。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(CVE-2022-28948)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受影响版本的此包容易受到拒绝服务(DoS)。
通过Unmarshal函数，该函数会导致程序在试图反序列化无效输入时崩溃。
PoC:
package main
import (
    "gopkg.in/yaml.v3"
)
func main() {
    var t interface{}
    yaml.Unmarshal([]byte("0: [:!00 \xef"), &amp;t)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(CVE-2022-28948)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受影响版本的此包容易受到拒绝服务(DoS)。
通过Unmarshal函数，该函数会导致程序在试图反序列化无效输入时崩溃。
PoC:
package main
import (
    "gopkg.in/yaml.v3"
)
func main() {
    var t interface{}
    yaml.Unmarshal([]byte("0: [:!00 \xef"), &amp;t)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拒绝服务（DoS）(CVE-2019-11254)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此软件包的受影响版本容易受到拒绝服务（DoS）的影响。授权用户可能会发送恶意的YAML有效负载，从而导致kube-apiserver在解析YAML时消耗过多的CPU周期。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拒绝服务 (DoS)(lj-go-2230372-9020815)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此软件包的受影响版本容易受到拒绝服务(DoS)的攻击。由于无限制的别名追逐，恶意制作的 YAML文件可能会导致系统消耗大量系统资源。如果解析用户输入，这可以用作拒绝服务向量。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XML实体扩张(lj-go-2230372-9022882)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未评级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go-yaml容易受到Billion Laughs 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uglify-js@3.1.2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正则表达式拒绝服务(ReDoS)(lj-npm-150602-9023245)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uglify-js是一个JavaScript解析器、压缩器、压缩器和美化工具包。
此包的受影响版本容易受到通过string_template和decode_template函数的正则表达式拒绝服务(ReDoS)的攻击。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(CVE-2022-28948)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受影响版本的此包容易受到拒绝服务(DoS)。
通过Unmarshal函数，该函数会导致程序在试图反序列化无效输入时崩溃。
PoC:
package main
import (
    "gopkg.in/yaml.v3"
)
func main() {
    var t interface{}
    yaml.Unmarshal([]byte("0: [:!00 \xef"), &amp;t)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拒绝服务（DoS）(CVE-2019-11254)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此软件包的受影响版本容易受到拒绝服务（DoS）的影响。授权用户可能会发送恶意的YAML有效负载，从而导致kube-apiserver在解析YAML时消耗过多的CPU周期。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terser@3.17.0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Terser 在 v4.8.1 和 v5.14.2 之前不安全地使用正则表达式会导致 ReDoS(CVE-2022-25858)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由于正则表达式的使用不安全，4.8.1 之前、5.0.0 和 5.14.2 之前的包 terser 容易受到正则表达式拒绝服务 (ReDoS) 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gopkg.in/yaml.v2@v2.2.8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(CVE-2022-28948)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gopkg.in/yaml.v2是Go语言的YAML支持包。
受影响版本的此包容易受到拒绝服务(DoS)。
通过Unmarshal函数，该函数会导致程序在试图反序列化无效输入时崩溃。
PoC:
package main
import (
    "gopkg.in/yaml.v3"
)
func main() {
    var t interface{}
    yaml.Unmarshal([]byte("0: [:!00 \xef"), &amp;t)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follow-redirects@1.5.10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信息泄漏(CVE-2022-0155)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此软件包的受影响版本在使用请求正文中的cookie获取远程URL的过程中将cookie标头泄漏给第三方站点，从而容易受到信息泄露的影响。如果响应包含位置标头，它将跟随重定向到潜在恶意行为者的另一个URL，cookie将暴露给该UR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follow-redirects@1.5.10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信息曝光(CVE-2022-0536)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由于在HTTPS到HTTP重定向期间同一主机名的授权标头泄漏，此软件包的受影响版本容易受到信息泄露的影响。由于使用了不安全的HTTP协议，该协议不验证请求发送到的主机名，因此可以在线监听（或执行MITM攻击）的攻击者将能够接收到Authorization标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go.mongodb.org/mongo-driver@v1.1.2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指定类型输入的不正确验证(CVE-2021-20329)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将Go对象编组到BSON中时，可能无法在MongoDB Go Driver中正确验证特定的cstrings输入。恶意用户可以使用带有特定字符串的Go对象潜在地将附加字段注入到编组文档中。此问题会影响所有MongoDB GO驱动程序（包括）1.5.0。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github.com/gogo/protobuf@v1.3.1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不正确的验证数组索引(CVE-2021-3121)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1.3.2之前在GoGo Protobuf中发现了一个问题。plugin/unmarshal/unmarshal.go 缺乏某种指数验证，也就是“花生酱不脆”的问题。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00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codecov@3.0.0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命令注入(CVE-2020-15123)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codecov是一个npm软件包，用于将报告上传到Codecov。
该软件包的受影响版本很容易通过上载方法进行命令注入。
注意:此漏洞是由于CVE-2020-7597的修补程序不完整而存在的。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codecov@3.0.0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命令注入(CVE-2020-7596)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codecov是一个npm软件包，用于将报告上传到Codecov。
此软件包的受影响版本容易受到命令注入的攻击。
作为gcov-args参数一部分提供的值由lib/codecov.js中的exec函数执行。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codecov@3.0.0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命令注入(CVE-2020-7597)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codecov是一个npm软件包，用于将报告上传到Codecov。
此软件包的受影响版本容易受到命令注入的攻击。
作为gcov-root参数一部分提供的值由lib/codecov.js中的exec函数执行。由于CVE-2020-7596的修补程序不完整而存在此漏洞。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00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原型污染(CVE-2019-10744)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该软件包的受影响版本容易受到原型污染。 函数defaultsDeep可能被诱骗使用构造函数有效负载添加或修改Object.prototype的属性。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原型污染(lj-npm-150548-9014758)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由于对CVE-2020-8203的修复不完整，此软件包的受影响版本容易受到zipObjectDeep中的原型污染的影响。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lodash中的任意代码执行(CVE-2021-41720)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＃撤销
GitHub选择将此CVE作为撤回的公告发布，因为它不是安全问题。有关更多详细信息，请参阅[此问题](https://github.com/lodash/lodash/issues/5261)。
#CVE描述
"**DISPUTED**Lodash4.17.21中的一个命令注入漏洞允许攻击者通过模板函数实现任意代码执行。这是与CVE-2021-23337不同的参数、方法和版本。注意:供应商的立场是确保模板不会评估源自不受信任输入的代码是开发人员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原型污染(lj-npm-150548-9014889)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该软件包的受影响版本很容易通过setWith和set函数受到原型污染。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命令注入(CVE-2021-23337)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该软件包的受影响版本很容易通过模板进行命令注入。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原型污染(CVE-2020-8203)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lodash是一个提供模块化、性能和附加功能的现代JavaScript实用程序库。
此软件包的受影响版本容易受到原型污染。
zipObjectDeep函数可以被诱骗添加或修改对象原型的属性。这些属性将出现在所有对象上。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原型污染(CVE-2018-3721)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lodash是一个现代的JavaScript实用程序库，提供模块化，性能和其他功能。
该软件包的受影响版本容易受到原型污染。
实用程序功能允许修改对象原型。 如果攻击者可以控制传递给此函数的结构的一部分，则他们可以添加或修改现有属性。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原型污染(CVE-2018-16487)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新型的JavaScript实用程序库，提供模块化、性能和额外功能。此包的受影响版本容易受到原型污染。函数merge，mergeWith和defaultsDeep可能被欺骗添加或修改Object.prototype的属性。这是由于CVE-2018-3721的修复不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正则表达式拒绝服务(ReDoS)(CVE-2019-1010266)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lodash是一个新型的JavaScript实用程序库，提供模块化、性能和额外功能。此包的受影响版本易受正则表达式拒绝服务（Redos）的攻击。它使用regex字符串解析日期，这可能导致每50k字符2秒的速度减慢。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lodash@4.17.4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正则表达式拒绝服务（ReDoS）(CVE-2020-28500)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lodash是一个现代的JavaScript实用程序库，提供模块化，性能和附加功能。
该软件包的受影响版本容易通过toNumber，trim和trimEnd函数受到正则表达式拒绝服务（ReDoS）的攻击。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00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minimist@1.2.5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原型污染(CVE-2021-44906)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minimist是一个解析参数选项模块。
由于缺少Function.prototype的处理程序，此包的受影响版本容易受到原型污染。
注意:这是绕过CVE-2020-7598
","Snyk的PoC
":"require('minimist')('--_.constructor.constructor.prototype.foo bar'.split(' '));
console.log((function(){}).foo);//bar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9C00"/>
          </w:tcPr>
          <w:p>
            <w:pPr>
              <w:rPr>
                <w:rFonts w:ascii="仿宋" w:hAnsi="仿宋" w:eastAsia="仿宋" w:cs="仿宋"/>
                <w:b/>
                <w:bCs/>
              </w:rPr>
            </w:pPr>
            <w:r>
              <w:rPr>
                <w:rFonts w:hint="eastAsia" w:ascii="仿宋" w:hAnsi="仿宋" w:eastAsia="仿宋" w:cs="仿宋"/>
              </w:rPr>
              <w:t>/octopus-7e4gY1JTG0/octopus/admin-portal/package.json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async-validator@1.8.1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正则表达式拒绝服务(ReDos)(CVE-2021-3887)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async-validator是异步的验证器形式。由于rule.ts和index.js文件中的type()函数，该软件包的受影响版本容易受到正则表达式拒绝服务(ReDoS)的攻击，该函数使用不安全的正则表达式来验证用户提供的URL。远程攻击者可以通过提供利用大量字符的URL来利用此漏洞。
概念验证:
//poc.js
const AsyncValidator = require('async-validator').default;
const validator = new AsyncValidator({
  v: {
    type: 'url',
  },
});
for (var i = 1; i &lt;= 50000; i++) {
  var time = Date.now();
  var attack_str = '//' + ':'.repeat(i * 15000) + '@';
  validator.validate({
    v: attack_str,
  });
  var time_cost = Date.now() - time;
  console.log(
    'attack_str.length: ' + attack_str.length + ': ' + time_cost + ' ms',
  );
}
//Output:
attack_str.length: 15003: 264 ms
attack_str.length: 30003: 1049 ms
attack_str.length: 45003: 2424 ms
attack_str.length: 60003: 4377 ms
attack_str.length: 75003: 7036 ms
attack_str.length: 90003: 10071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auto"/>
          </w:tcPr>
          <w:p>
            <w:pPr>
              <w:rPr>
                <w:rFonts w:ascii="仿宋" w:hAnsi="仿宋" w:eastAsia="仿宋" w:cs="仿宋"/>
                <w:b/>
                <w:bCs/>
              </w:rPr>
            </w:pPr>
            <w:r>
              <w:rPr>
                <w:rFonts w:hint="eastAsia" w:ascii="仿宋" w:hAnsi="仿宋" w:eastAsia="仿宋" w:cs="仿宋"/>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shd w:val="clear" w:color="auto" w:fill="FF5E00"/>
          </w:tcPr>
          <w:p>
            <w:pPr>
              <w:rPr>
                <w:rFonts w:ascii="仿宋" w:hAnsi="仿宋" w:eastAsia="仿宋" w:cs="仿宋"/>
                <w:b/>
                <w:bCs/>
              </w:rPr>
            </w:pPr>
            <w:r>
              <w:rPr>
                <w:rFonts w:hint="eastAsia" w:ascii="仿宋" w:hAnsi="仿宋" w:eastAsia="仿宋" w:cs="仿宋"/>
              </w:rPr>
              <w:t>/octopus-7e4gY1JTG0/octopus/server/volcano/go.mod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github.com/caddyserver/caddy@v1.0.3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越界读取会导致客户端拒绝服务(CVE-2022-34037)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高危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在 Caddy v2.5.1 中/modules/caddyhttp/rewrite/rewrite.go 的重写函数中的越界读取允许攻击者通过精心设计的 URI 在客户端造成拒绝服务 (DoS)。
据维护者介绍，该漏洞只影响请求的客户端，不会导致服务器拒绝服务。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jc w:val="left"/>
              <w:rPr>
                <w:rFonts w:ascii="仿宋" w:hAnsi="仿宋" w:eastAsia="仿宋" w:cs="仿宋"/>
              </w:rPr>
            </w:pPr>
            <w:r>
              <w:rPr>
                <w:rFonts w:hint="eastAsia" w:ascii="仿宋" w:hAnsi="仿宋" w:eastAsia="仿宋" w:cs="仿宋"/>
                <w:b/>
                <w:bCs/>
              </w:rPr>
              <w:t>引用漏洞组件：</w:t>
            </w:r>
            <w:r>
              <w:rPr>
                <w:rFonts w:hint="eastAsia" w:ascii="仿宋" w:hAnsi="仿宋" w:eastAsia="仿宋" w:cs="仿宋"/>
              </w:rPr>
              <w:t>github.com/caddyserver/caddy@v1.0.3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6" w:type="dxa"/>
            <w:shd w:val="clear" w:color="auto" w:fill="BEBEBE" w:themeFill="background1" w:themeFillShade="BF"/>
          </w:tcPr>
          <w:p>
            <w:pPr>
              <w:rPr>
                <w:rFonts w:ascii="仿宋" w:hAnsi="仿宋" w:eastAsia="仿宋" w:cs="仿宋"/>
              </w:rPr>
            </w:pPr>
            <w:r>
              <w:rPr>
                <w:rFonts w:hint="eastAsia" w:ascii="仿宋" w:hAnsi="仿宋" w:eastAsia="仿宋" w:cs="仿宋"/>
                <w:b/>
                <w:bCs/>
              </w:rPr>
              <w:t>漏洞标题：</w:t>
            </w:r>
            <w:r>
              <w:rPr>
                <w:rFonts w:hint="eastAsia" w:ascii="仿宋" w:hAnsi="仿宋" w:eastAsia="仿宋" w:cs="仿宋"/>
              </w:rPr>
              <w:t>在caddy中打开重定向(CVE-2022-29718)
</w:t>
            </w:r>
          </w:p>
        </w:tc>
        <w:tc>
          <w:tcPr>
            <w:tcW w:w="3736" w:type="dxa"/>
            <w:shd w:val="clear" w:color="auto" w:fill="BEBEBE" w:themeFill="background1" w:themeFillShade="BF"/>
          </w:tcPr>
          <w:p>
            <w:pPr>
              <w:rPr>
                <w:rFonts w:ascii="仿宋" w:hAnsi="仿宋" w:eastAsia="仿宋" w:cs="仿宋"/>
              </w:rPr>
            </w:pPr>
            <w:r>
              <w:rPr>
                <w:rFonts w:hint="eastAsia" w:ascii="仿宋" w:hAnsi="仿宋" w:eastAsia="仿宋" w:cs="仿宋"/>
                <w:b/>
                <w:bCs/>
              </w:rPr>
              <w:t>危害等级：</w:t>
            </w:r>
            <w:r>
              <w:rPr>
                <w:rFonts w:hint="eastAsia" w:ascii="仿宋" w:hAnsi="仿宋" w:eastAsia="仿宋" w:cs="仿宋"/>
              </w:rPr>
              <w:t>中危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漏洞描述：</w:t>
            </w:r>
          </w:p>
          <w:p>
            <w:pPr>
              <w:ind w:firstLine="420" w:firstLineChars="200"/>
              <w:rPr>
                <w:rFonts w:ascii="仿宋" w:hAnsi="仿宋" w:eastAsia="仿宋" w:cs="仿宋"/>
              </w:rPr>
            </w:pPr>
            <w:r>
              <w:rPr>
                <w:rFonts w:hint="eastAsia" w:ascii="仿宋" w:hAnsi="仿宋" w:eastAsia="仿宋" w:cs="仿宋"/>
              </w:rPr>
              <w:t>Caddy v2.4 被发现包含一个开放重定向漏洞。未经身份验证的远程攻击者可以利用此漏洞，通过诱使受害用户单击精心编制的链接，将用户重定向到任意 Web URL。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tcPr>
          <w:p>
            <w:pPr>
              <w:rPr>
                <w:rFonts w:ascii="仿宋" w:hAnsi="仿宋" w:eastAsia="仿宋" w:cs="仿宋"/>
                <w:b/>
                <w:bCs/>
              </w:rPr>
            </w:pPr>
            <w:r>
              <w:rPr>
                <w:rFonts w:hint="eastAsia" w:ascii="仿宋" w:hAnsi="仿宋" w:eastAsia="仿宋" w:cs="仿宋"/>
                <w:b/>
                <w:bCs/>
              </w:rPr>
              <w:t>参考修复方案：</w:t>
            </w:r>
          </w:p>
          <w:p>
            <w:pPr>
              <w:ind w:firstLine="420" w:firstLineChars="200"/>
              <w:rPr>
                <w:rFonts w:ascii="仿宋" w:hAnsi="仿宋" w:eastAsia="仿宋" w:cs="仿宋"/>
              </w:rPr>
            </w:pPr>
            <w:r>
              <w:rPr>
                <w:rFonts w:hint="eastAsia" w:ascii="仿宋" w:hAnsi="仿宋" w:eastAsia="仿宋" w:cs="仿宋"/>
              </w:rPr>
              <w:t>该组件尚无安全版本发布，建议替换该组件，或采取其他缓解措施</w:t>
            </w:r>
          </w:p>
          <w:p>
            <w:pPr>
              <w:rPr>
                <w:rFonts w:ascii="仿宋" w:hAnsi="仿宋" w:eastAsia="仿宋" w:cs="仿宋"/>
              </w:rPr>
            </w:pPr>
            <w:r>
              <w:rPr>
                <w:rFonts w:hint="eastAsia" w:ascii="仿宋" w:hAnsi="仿宋" w:eastAsia="仿宋" w:cs="仿宋"/>
                <w:b/>
                <w:bCs/>
              </w:rPr>
              <w:t>注：修复方案只作安全版本推荐，组件升级或替换后的兼容性需详细测试。</w:t>
            </w:r>
          </w:p>
        </w:tc>
      </w:tr>
      <w:bookmarkEnd w:id="0"/>
      <w:bookmarkEnd w:id="1"/>
      <w:bookmarkEnd w:id="2"/>
      <w:bookmarkEnd w:id="3"/>
      <w:bookmarkEnd w:id="4"/>
      <w:bookmarkEnd w:id="5"/>
      <w:bookmarkEnd w:id="6"/>
    </w:tbl>
    <w:p>
      <w:pPr>
        <w:rPr>
          <w:rFonts w:ascii="仿宋" w:hAnsi="仿宋" w:eastAsia="仿宋" w:cs="仿宋"/>
        </w:rPr>
      </w:pPr>
    </w:p>
    <w:p>
      <w:pPr>
        <w:rPr>
          <w:rFonts w:ascii="仿宋" w:hAnsi="仿宋" w:eastAsia="仿宋" w:cs="仿宋"/>
        </w:rPr>
      </w:pPr>
    </w:p>
    <w:p>
      <w:pPr>
        <w:rPr>
          <w:b/>
          <w:bCs/>
          <w:sz w:val="24"/>
          <w:szCs w:val="28"/>
        </w:rPr>
      </w:pPr>
      <w:r>
        <w:rPr>
          <w:rFonts w:hint="eastAsia"/>
          <w:b/>
          <w:bCs/>
          <w:sz w:val="24"/>
          <w:szCs w:val="28"/>
        </w:rPr>
        <w:t>2.3</w:t>
      </w:r>
      <w:r>
        <w:rPr>
          <w:b/>
          <w:bCs/>
          <w:sz w:val="24"/>
          <w:szCs w:val="28"/>
        </w:rPr>
        <w:t xml:space="preserve"> </w:t>
      </w:r>
      <w:r>
        <w:rPr>
          <w:rFonts w:hint="eastAsia"/>
          <w:b/>
          <w:bCs/>
          <w:sz w:val="24"/>
          <w:szCs w:val="28"/>
        </w:rPr>
        <w:t>文件级漏洞警告详情</w:t>
      </w:r>
    </w:p>
    <w:p>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等线 Light">
    <w:altName w:val="汉仪中等线KW"/>
    <w:panose1 w:val="02010600030101010101"/>
    <w:charset w:val="86"/>
    <w:family w:val="auto"/>
    <w:pitch w:val="default"/>
    <w:sig w:usb0="00000000" w:usb1="00000000" w:usb2="00000016" w:usb3="00000000" w:csb0="0004000F"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70213C"/>
    <w:multiLevelType w:val="singleLevel"/>
    <w:tmpl w:val="1E70213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doNotDisplayPageBoundaries w:val="1"/>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C81"/>
    <w:rsid w:val="00006909"/>
    <w:rsid w:val="000207C9"/>
    <w:rsid w:val="00027AD5"/>
    <w:rsid w:val="00027FF0"/>
    <w:rsid w:val="00037765"/>
    <w:rsid w:val="00072C81"/>
    <w:rsid w:val="0008018F"/>
    <w:rsid w:val="00090119"/>
    <w:rsid w:val="000A59A1"/>
    <w:rsid w:val="000B757C"/>
    <w:rsid w:val="000E39A2"/>
    <w:rsid w:val="001040A4"/>
    <w:rsid w:val="0011104B"/>
    <w:rsid w:val="0011527D"/>
    <w:rsid w:val="00120368"/>
    <w:rsid w:val="00140E2B"/>
    <w:rsid w:val="001445EE"/>
    <w:rsid w:val="00145ADD"/>
    <w:rsid w:val="001561B0"/>
    <w:rsid w:val="00162568"/>
    <w:rsid w:val="00165C34"/>
    <w:rsid w:val="00180D13"/>
    <w:rsid w:val="0018321B"/>
    <w:rsid w:val="001950FC"/>
    <w:rsid w:val="001A061D"/>
    <w:rsid w:val="001A404A"/>
    <w:rsid w:val="001C2945"/>
    <w:rsid w:val="001F30B7"/>
    <w:rsid w:val="002050E8"/>
    <w:rsid w:val="00214FCA"/>
    <w:rsid w:val="00227736"/>
    <w:rsid w:val="002301F2"/>
    <w:rsid w:val="00243D9A"/>
    <w:rsid w:val="00247A64"/>
    <w:rsid w:val="00252111"/>
    <w:rsid w:val="00256E3E"/>
    <w:rsid w:val="00257381"/>
    <w:rsid w:val="00260459"/>
    <w:rsid w:val="0026798D"/>
    <w:rsid w:val="00273E49"/>
    <w:rsid w:val="002837DC"/>
    <w:rsid w:val="0028448A"/>
    <w:rsid w:val="00286288"/>
    <w:rsid w:val="00297C75"/>
    <w:rsid w:val="002A72C8"/>
    <w:rsid w:val="002A7652"/>
    <w:rsid w:val="002D79CB"/>
    <w:rsid w:val="003063EE"/>
    <w:rsid w:val="00307B67"/>
    <w:rsid w:val="0033100B"/>
    <w:rsid w:val="003525BA"/>
    <w:rsid w:val="00365DCD"/>
    <w:rsid w:val="00387F1A"/>
    <w:rsid w:val="003970BE"/>
    <w:rsid w:val="003A10D8"/>
    <w:rsid w:val="003A601B"/>
    <w:rsid w:val="003B744B"/>
    <w:rsid w:val="003B76A1"/>
    <w:rsid w:val="003C3293"/>
    <w:rsid w:val="003C3987"/>
    <w:rsid w:val="003D28A8"/>
    <w:rsid w:val="003D4D2F"/>
    <w:rsid w:val="003D6FDF"/>
    <w:rsid w:val="003E4BC7"/>
    <w:rsid w:val="003E54C6"/>
    <w:rsid w:val="00422559"/>
    <w:rsid w:val="004253C4"/>
    <w:rsid w:val="00426B55"/>
    <w:rsid w:val="00462B54"/>
    <w:rsid w:val="00497096"/>
    <w:rsid w:val="004A1977"/>
    <w:rsid w:val="004A7180"/>
    <w:rsid w:val="004C38A7"/>
    <w:rsid w:val="004D332B"/>
    <w:rsid w:val="004E1490"/>
    <w:rsid w:val="004F2ACD"/>
    <w:rsid w:val="005029E0"/>
    <w:rsid w:val="00512FB2"/>
    <w:rsid w:val="00517F87"/>
    <w:rsid w:val="005357FE"/>
    <w:rsid w:val="005428F2"/>
    <w:rsid w:val="00572C13"/>
    <w:rsid w:val="00577D62"/>
    <w:rsid w:val="0058687E"/>
    <w:rsid w:val="00586E4E"/>
    <w:rsid w:val="005A1E62"/>
    <w:rsid w:val="005A6202"/>
    <w:rsid w:val="005B33AC"/>
    <w:rsid w:val="005B5030"/>
    <w:rsid w:val="005B6389"/>
    <w:rsid w:val="005F7755"/>
    <w:rsid w:val="00607980"/>
    <w:rsid w:val="00616AB0"/>
    <w:rsid w:val="006174F6"/>
    <w:rsid w:val="006218E3"/>
    <w:rsid w:val="0063003A"/>
    <w:rsid w:val="006469F3"/>
    <w:rsid w:val="0068009B"/>
    <w:rsid w:val="00683287"/>
    <w:rsid w:val="006A0681"/>
    <w:rsid w:val="006A62BF"/>
    <w:rsid w:val="006B1954"/>
    <w:rsid w:val="006B7932"/>
    <w:rsid w:val="006C2F13"/>
    <w:rsid w:val="006D7E81"/>
    <w:rsid w:val="006E5119"/>
    <w:rsid w:val="0071551D"/>
    <w:rsid w:val="0073080B"/>
    <w:rsid w:val="00731296"/>
    <w:rsid w:val="0073564A"/>
    <w:rsid w:val="00740946"/>
    <w:rsid w:val="007529D3"/>
    <w:rsid w:val="007534F0"/>
    <w:rsid w:val="00757C38"/>
    <w:rsid w:val="00762A0F"/>
    <w:rsid w:val="007727A6"/>
    <w:rsid w:val="00782EC2"/>
    <w:rsid w:val="007904C1"/>
    <w:rsid w:val="00790ED9"/>
    <w:rsid w:val="00792112"/>
    <w:rsid w:val="007A0DCF"/>
    <w:rsid w:val="007C5D1E"/>
    <w:rsid w:val="007D0ABE"/>
    <w:rsid w:val="007E0AFA"/>
    <w:rsid w:val="007F44C6"/>
    <w:rsid w:val="0080687B"/>
    <w:rsid w:val="0081067D"/>
    <w:rsid w:val="008432C3"/>
    <w:rsid w:val="0085610F"/>
    <w:rsid w:val="00870C1C"/>
    <w:rsid w:val="00873C6D"/>
    <w:rsid w:val="0089497A"/>
    <w:rsid w:val="00896564"/>
    <w:rsid w:val="008B7440"/>
    <w:rsid w:val="008E35F6"/>
    <w:rsid w:val="00902667"/>
    <w:rsid w:val="009128CC"/>
    <w:rsid w:val="00933F69"/>
    <w:rsid w:val="009371AD"/>
    <w:rsid w:val="00952A23"/>
    <w:rsid w:val="00961B40"/>
    <w:rsid w:val="00976B20"/>
    <w:rsid w:val="009D0753"/>
    <w:rsid w:val="009E491B"/>
    <w:rsid w:val="009E4EAB"/>
    <w:rsid w:val="00A03C96"/>
    <w:rsid w:val="00A04906"/>
    <w:rsid w:val="00A10F00"/>
    <w:rsid w:val="00A15DEC"/>
    <w:rsid w:val="00A24304"/>
    <w:rsid w:val="00A4053D"/>
    <w:rsid w:val="00A43B64"/>
    <w:rsid w:val="00A560A7"/>
    <w:rsid w:val="00A63288"/>
    <w:rsid w:val="00A654C6"/>
    <w:rsid w:val="00A66C34"/>
    <w:rsid w:val="00AC4881"/>
    <w:rsid w:val="00AF7D84"/>
    <w:rsid w:val="00B34ADE"/>
    <w:rsid w:val="00B502F6"/>
    <w:rsid w:val="00B53C8A"/>
    <w:rsid w:val="00B663A4"/>
    <w:rsid w:val="00B71C08"/>
    <w:rsid w:val="00B905B4"/>
    <w:rsid w:val="00B94683"/>
    <w:rsid w:val="00BA65B7"/>
    <w:rsid w:val="00BC222C"/>
    <w:rsid w:val="00BC68D7"/>
    <w:rsid w:val="00BD2095"/>
    <w:rsid w:val="00BE51B0"/>
    <w:rsid w:val="00C3024B"/>
    <w:rsid w:val="00C40D5E"/>
    <w:rsid w:val="00C56A7D"/>
    <w:rsid w:val="00C60E32"/>
    <w:rsid w:val="00C61039"/>
    <w:rsid w:val="00C94494"/>
    <w:rsid w:val="00C95F92"/>
    <w:rsid w:val="00CB1628"/>
    <w:rsid w:val="00CB548F"/>
    <w:rsid w:val="00CC287F"/>
    <w:rsid w:val="00CC56A0"/>
    <w:rsid w:val="00CD03F2"/>
    <w:rsid w:val="00CD4900"/>
    <w:rsid w:val="00CD498B"/>
    <w:rsid w:val="00CD61C1"/>
    <w:rsid w:val="00CD707D"/>
    <w:rsid w:val="00CF4D56"/>
    <w:rsid w:val="00CF6BE5"/>
    <w:rsid w:val="00D2118A"/>
    <w:rsid w:val="00D22136"/>
    <w:rsid w:val="00D2247C"/>
    <w:rsid w:val="00D31887"/>
    <w:rsid w:val="00D32C97"/>
    <w:rsid w:val="00D6117E"/>
    <w:rsid w:val="00D6187E"/>
    <w:rsid w:val="00D7333F"/>
    <w:rsid w:val="00D914EB"/>
    <w:rsid w:val="00D9310E"/>
    <w:rsid w:val="00DB005E"/>
    <w:rsid w:val="00DB64B1"/>
    <w:rsid w:val="00DC2FAF"/>
    <w:rsid w:val="00DE4F8A"/>
    <w:rsid w:val="00E263BD"/>
    <w:rsid w:val="00E34C2A"/>
    <w:rsid w:val="00E35417"/>
    <w:rsid w:val="00E503FF"/>
    <w:rsid w:val="00E70222"/>
    <w:rsid w:val="00EB0684"/>
    <w:rsid w:val="00EB0BF3"/>
    <w:rsid w:val="00F272DB"/>
    <w:rsid w:val="00F46331"/>
    <w:rsid w:val="00F53518"/>
    <w:rsid w:val="00F57295"/>
    <w:rsid w:val="00F65ED2"/>
    <w:rsid w:val="00F67276"/>
    <w:rsid w:val="00F84DD3"/>
    <w:rsid w:val="00F9131B"/>
    <w:rsid w:val="00F945E0"/>
    <w:rsid w:val="00FA104F"/>
    <w:rsid w:val="00FA16F2"/>
    <w:rsid w:val="00FA25B9"/>
    <w:rsid w:val="00FA5427"/>
    <w:rsid w:val="00FB6A8E"/>
    <w:rsid w:val="00FB6D8F"/>
    <w:rsid w:val="00FC7BA5"/>
    <w:rsid w:val="00FE20B2"/>
    <w:rsid w:val="00FE6EC3"/>
    <w:rsid w:val="00FF30C3"/>
    <w:rsid w:val="00FF7826"/>
    <w:rsid w:val="02A866E2"/>
    <w:rsid w:val="048A23E6"/>
    <w:rsid w:val="05FA222A"/>
    <w:rsid w:val="064B05EE"/>
    <w:rsid w:val="0720651B"/>
    <w:rsid w:val="07F05AFA"/>
    <w:rsid w:val="08BB2ED6"/>
    <w:rsid w:val="0903337F"/>
    <w:rsid w:val="09115FE0"/>
    <w:rsid w:val="096607CA"/>
    <w:rsid w:val="09DA4872"/>
    <w:rsid w:val="0B4C261B"/>
    <w:rsid w:val="0B5E73A2"/>
    <w:rsid w:val="0BC87ADB"/>
    <w:rsid w:val="0BDA524E"/>
    <w:rsid w:val="0BFE1B35"/>
    <w:rsid w:val="0CBF1948"/>
    <w:rsid w:val="0CF15105"/>
    <w:rsid w:val="0D0D731B"/>
    <w:rsid w:val="0D6A6CD8"/>
    <w:rsid w:val="0DD02A20"/>
    <w:rsid w:val="0DFA2ECE"/>
    <w:rsid w:val="0EDB4C2E"/>
    <w:rsid w:val="0EE90F7A"/>
    <w:rsid w:val="100A7852"/>
    <w:rsid w:val="11962E70"/>
    <w:rsid w:val="12A950AB"/>
    <w:rsid w:val="135C037C"/>
    <w:rsid w:val="13BD7AD7"/>
    <w:rsid w:val="142F7C25"/>
    <w:rsid w:val="15844B75"/>
    <w:rsid w:val="1588495A"/>
    <w:rsid w:val="15C26CB1"/>
    <w:rsid w:val="15C85F01"/>
    <w:rsid w:val="163F33F5"/>
    <w:rsid w:val="17F71910"/>
    <w:rsid w:val="17F83E78"/>
    <w:rsid w:val="18B54AB0"/>
    <w:rsid w:val="19AB2946"/>
    <w:rsid w:val="19EF6426"/>
    <w:rsid w:val="1A5D49EA"/>
    <w:rsid w:val="1B511412"/>
    <w:rsid w:val="1B7262FC"/>
    <w:rsid w:val="1C17630E"/>
    <w:rsid w:val="1C4266B2"/>
    <w:rsid w:val="1C5200A5"/>
    <w:rsid w:val="1E444681"/>
    <w:rsid w:val="1EBB6F5F"/>
    <w:rsid w:val="1ECC233D"/>
    <w:rsid w:val="20EE21D9"/>
    <w:rsid w:val="213357B8"/>
    <w:rsid w:val="21851477"/>
    <w:rsid w:val="22E45017"/>
    <w:rsid w:val="239338C4"/>
    <w:rsid w:val="24156A16"/>
    <w:rsid w:val="273D50C6"/>
    <w:rsid w:val="275A00E8"/>
    <w:rsid w:val="27A21F51"/>
    <w:rsid w:val="27C95301"/>
    <w:rsid w:val="27E83768"/>
    <w:rsid w:val="296237B4"/>
    <w:rsid w:val="29B43ED4"/>
    <w:rsid w:val="2B052CBA"/>
    <w:rsid w:val="2BB60D6A"/>
    <w:rsid w:val="2C3B3280"/>
    <w:rsid w:val="2C4553CC"/>
    <w:rsid w:val="2CA15C0E"/>
    <w:rsid w:val="2CF17D4C"/>
    <w:rsid w:val="2DC17F89"/>
    <w:rsid w:val="2FBE0137"/>
    <w:rsid w:val="2FF65E29"/>
    <w:rsid w:val="309D4034"/>
    <w:rsid w:val="31C47676"/>
    <w:rsid w:val="33700BFB"/>
    <w:rsid w:val="33A519D3"/>
    <w:rsid w:val="33AA7A24"/>
    <w:rsid w:val="343D28E9"/>
    <w:rsid w:val="34A62BE8"/>
    <w:rsid w:val="34ED3687"/>
    <w:rsid w:val="353A7CCC"/>
    <w:rsid w:val="364604D9"/>
    <w:rsid w:val="367E3A3F"/>
    <w:rsid w:val="37952121"/>
    <w:rsid w:val="37FB67DE"/>
    <w:rsid w:val="382A0E26"/>
    <w:rsid w:val="38314BB5"/>
    <w:rsid w:val="389A40EB"/>
    <w:rsid w:val="39DC0AE0"/>
    <w:rsid w:val="3A412DD7"/>
    <w:rsid w:val="3B493606"/>
    <w:rsid w:val="3CE9395F"/>
    <w:rsid w:val="3EDFA049"/>
    <w:rsid w:val="3EEB1A57"/>
    <w:rsid w:val="3F250368"/>
    <w:rsid w:val="3F4E797E"/>
    <w:rsid w:val="407E5762"/>
    <w:rsid w:val="40AD1838"/>
    <w:rsid w:val="413108D1"/>
    <w:rsid w:val="41C471EC"/>
    <w:rsid w:val="428D6CDC"/>
    <w:rsid w:val="432C62D1"/>
    <w:rsid w:val="437E7D89"/>
    <w:rsid w:val="43C41F56"/>
    <w:rsid w:val="43CF44C6"/>
    <w:rsid w:val="44F879A6"/>
    <w:rsid w:val="45EB0930"/>
    <w:rsid w:val="465644BA"/>
    <w:rsid w:val="48DF60FF"/>
    <w:rsid w:val="49517531"/>
    <w:rsid w:val="49E6261B"/>
    <w:rsid w:val="4A117160"/>
    <w:rsid w:val="4B030CD9"/>
    <w:rsid w:val="4B9B6E51"/>
    <w:rsid w:val="4BA94D1A"/>
    <w:rsid w:val="4C461F5A"/>
    <w:rsid w:val="4C494EED"/>
    <w:rsid w:val="4C5545F7"/>
    <w:rsid w:val="4DFE3713"/>
    <w:rsid w:val="4E36668B"/>
    <w:rsid w:val="4E4B0660"/>
    <w:rsid w:val="4EB9364F"/>
    <w:rsid w:val="4ED97620"/>
    <w:rsid w:val="51FC6F20"/>
    <w:rsid w:val="527C3DF9"/>
    <w:rsid w:val="537B0AD4"/>
    <w:rsid w:val="53BA4CD7"/>
    <w:rsid w:val="53ED5DB2"/>
    <w:rsid w:val="540E2E70"/>
    <w:rsid w:val="54C0635A"/>
    <w:rsid w:val="54CF3D38"/>
    <w:rsid w:val="56500E1B"/>
    <w:rsid w:val="57BA1BC9"/>
    <w:rsid w:val="59040862"/>
    <w:rsid w:val="596C0962"/>
    <w:rsid w:val="5AB25A9E"/>
    <w:rsid w:val="5AB54A74"/>
    <w:rsid w:val="5ADB7C43"/>
    <w:rsid w:val="5AFA303E"/>
    <w:rsid w:val="5B700D63"/>
    <w:rsid w:val="5C542307"/>
    <w:rsid w:val="5C652D1B"/>
    <w:rsid w:val="5C831333"/>
    <w:rsid w:val="5CAF3D39"/>
    <w:rsid w:val="5D0D66DC"/>
    <w:rsid w:val="5E9D4C27"/>
    <w:rsid w:val="5EC9234F"/>
    <w:rsid w:val="5EFF0AF4"/>
    <w:rsid w:val="5FF90DB8"/>
    <w:rsid w:val="62031A35"/>
    <w:rsid w:val="64294FAA"/>
    <w:rsid w:val="6440770C"/>
    <w:rsid w:val="65267B8C"/>
    <w:rsid w:val="65323FAD"/>
    <w:rsid w:val="65A95E5A"/>
    <w:rsid w:val="665A6E8D"/>
    <w:rsid w:val="66897E26"/>
    <w:rsid w:val="66B07EC1"/>
    <w:rsid w:val="66D941A6"/>
    <w:rsid w:val="67051213"/>
    <w:rsid w:val="6724766D"/>
    <w:rsid w:val="67533ACB"/>
    <w:rsid w:val="69057682"/>
    <w:rsid w:val="692F0789"/>
    <w:rsid w:val="699A6C88"/>
    <w:rsid w:val="6A8E1160"/>
    <w:rsid w:val="6AB14430"/>
    <w:rsid w:val="6CAD50D9"/>
    <w:rsid w:val="6CDD1871"/>
    <w:rsid w:val="6D3B4B93"/>
    <w:rsid w:val="6DA11DB9"/>
    <w:rsid w:val="6F5B24DA"/>
    <w:rsid w:val="6FE7E611"/>
    <w:rsid w:val="70722B3F"/>
    <w:rsid w:val="70DD7AD1"/>
    <w:rsid w:val="712D16D3"/>
    <w:rsid w:val="7136471C"/>
    <w:rsid w:val="714606B2"/>
    <w:rsid w:val="716D0A7F"/>
    <w:rsid w:val="71DD69DA"/>
    <w:rsid w:val="71F0652D"/>
    <w:rsid w:val="72071872"/>
    <w:rsid w:val="728B04BD"/>
    <w:rsid w:val="73FF184C"/>
    <w:rsid w:val="744D78E5"/>
    <w:rsid w:val="7487162F"/>
    <w:rsid w:val="767F36A9"/>
    <w:rsid w:val="76804514"/>
    <w:rsid w:val="77117E42"/>
    <w:rsid w:val="773E0B3E"/>
    <w:rsid w:val="77A6059D"/>
    <w:rsid w:val="78E31BB5"/>
    <w:rsid w:val="7A034D7D"/>
    <w:rsid w:val="7C2F63B8"/>
    <w:rsid w:val="7D090CA3"/>
    <w:rsid w:val="7E021295"/>
    <w:rsid w:val="7F0A57BF"/>
    <w:rsid w:val="7F290099"/>
    <w:rsid w:val="7F827D69"/>
    <w:rsid w:val="7FBFBA94"/>
    <w:rsid w:val="7FEE1A88"/>
    <w:rsid w:val="CD6AC02D"/>
    <w:rsid w:val="CDF78C33"/>
    <w:rsid w:val="D7FCA11A"/>
    <w:rsid w:val="DFB54BD9"/>
    <w:rsid w:val="F3FF183B"/>
    <w:rsid w:val="F63FF6C8"/>
    <w:rsid w:val="F6CF998F"/>
    <w:rsid w:val="FBD5AE27"/>
    <w:rsid w:val="FBEB1C95"/>
    <w:rsid w:val="FD69189C"/>
    <w:rsid w:val="FD7F2BD5"/>
    <w:rsid w:val="FFBE673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unhideWhenUsed/>
    <w:qFormat/>
    <w:uiPriority w:val="9"/>
    <w:pPr>
      <w:keepNext/>
      <w:keepLines/>
      <w:spacing w:before="260" w:after="260" w:line="416" w:lineRule="auto"/>
      <w:outlineLvl w:val="1"/>
    </w:pPr>
    <w:rPr>
      <w:rFonts w:ascii="等线 Light" w:hAnsi="等线 Light" w:eastAsia="等线 Light"/>
      <w:b/>
      <w:bCs/>
      <w:sz w:val="32"/>
      <w:szCs w:val="32"/>
    </w:rPr>
  </w:style>
  <w:style w:type="paragraph" w:styleId="4">
    <w:name w:val="heading 3"/>
    <w:basedOn w:val="1"/>
    <w:next w:val="1"/>
    <w:link w:val="32"/>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unhideWhenUsed/>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13">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28"/>
    <w:unhideWhenUsed/>
    <w:qFormat/>
    <w:uiPriority w:val="99"/>
    <w:pPr>
      <w:tabs>
        <w:tab w:val="center" w:pos="4153"/>
        <w:tab w:val="right" w:pos="8306"/>
      </w:tabs>
      <w:snapToGrid w:val="0"/>
      <w:jc w:val="left"/>
    </w:pPr>
    <w:rPr>
      <w:sz w:val="18"/>
      <w:szCs w:val="18"/>
    </w:rPr>
  </w:style>
  <w:style w:type="paragraph" w:styleId="8">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paragraph" w:styleId="10">
    <w:name w:val="toc 4"/>
    <w:basedOn w:val="1"/>
    <w:next w:val="1"/>
    <w:unhideWhenUsed/>
    <w:qFormat/>
    <w:uiPriority w:val="39"/>
    <w:pPr>
      <w:ind w:left="1260" w:leftChars="600"/>
    </w:pPr>
  </w:style>
  <w:style w:type="paragraph" w:styleId="11">
    <w:name w:val="toc 2"/>
    <w:basedOn w:val="1"/>
    <w:next w:val="1"/>
    <w:unhideWhenUsed/>
    <w:qFormat/>
    <w:uiPriority w:val="39"/>
    <w:pPr>
      <w:ind w:left="420" w:leftChars="200"/>
    </w:pPr>
  </w:style>
  <w:style w:type="paragraph" w:styleId="12">
    <w:name w:val="Title"/>
    <w:basedOn w:val="1"/>
    <w:next w:val="1"/>
    <w:link w:val="17"/>
    <w:qFormat/>
    <w:uiPriority w:val="10"/>
    <w:pPr>
      <w:spacing w:before="240" w:after="60"/>
      <w:jc w:val="center"/>
      <w:outlineLvl w:val="0"/>
    </w:pPr>
    <w:rPr>
      <w:rFonts w:ascii="等线 Light" w:hAnsi="等线 Light" w:eastAsia="等线 Light"/>
      <w:b/>
      <w:bCs/>
      <w:sz w:val="32"/>
      <w:szCs w:val="32"/>
    </w:rPr>
  </w:style>
  <w:style w:type="character" w:styleId="14">
    <w:name w:val="Hyperlink"/>
    <w:unhideWhenUsed/>
    <w:qFormat/>
    <w:uiPriority w:val="99"/>
    <w:rPr>
      <w:color w:val="0563C1"/>
      <w:u w:val="single"/>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标题 字符"/>
    <w:link w:val="12"/>
    <w:qFormat/>
    <w:uiPriority w:val="10"/>
    <w:rPr>
      <w:rFonts w:ascii="等线 Light" w:hAnsi="等线 Light" w:eastAsia="等线 Light" w:cs="Times New Roman"/>
      <w:b/>
      <w:bCs/>
      <w:sz w:val="32"/>
      <w:szCs w:val="32"/>
    </w:rPr>
  </w:style>
  <w:style w:type="paragraph" w:customStyle="1" w:styleId="18">
    <w:name w:val="List Paragraph"/>
    <w:basedOn w:val="1"/>
    <w:qFormat/>
    <w:uiPriority w:val="34"/>
    <w:pPr>
      <w:ind w:firstLine="420" w:firstLineChars="200"/>
    </w:pPr>
  </w:style>
  <w:style w:type="table" w:customStyle="1" w:styleId="19">
    <w:name w:val="清单表 5 深色1"/>
    <w:basedOn w:val="15"/>
    <w:qFormat/>
    <w:uiPriority w:val="50"/>
    <w:rPr>
      <w:color w:val="FFFFFF"/>
    </w:rPr>
    <w:tblPr>
      <w:tblBorders>
        <w:top w:val="single" w:color="000000" w:sz="24" w:space="0"/>
        <w:left w:val="single" w:color="000000" w:sz="24" w:space="0"/>
        <w:bottom w:val="single" w:color="000000" w:sz="24" w:space="0"/>
        <w:right w:val="single" w:color="000000" w:sz="24" w:space="0"/>
      </w:tblBorders>
    </w:tblPr>
    <w:tcPr>
      <w:shd w:val="clear" w:color="auto" w:fill="000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0">
    <w:name w:val="清单表 5 深色 - 着色 41"/>
    <w:basedOn w:val="15"/>
    <w:qFormat/>
    <w:uiPriority w:val="50"/>
    <w:rPr>
      <w:color w:val="FFFFFF"/>
    </w:rPr>
    <w:tblPr>
      <w:tblBorders>
        <w:top w:val="single" w:color="FFC000" w:sz="24" w:space="0"/>
        <w:left w:val="single" w:color="FFC000" w:sz="24" w:space="0"/>
        <w:bottom w:val="single" w:color="FFC000" w:sz="24" w:space="0"/>
        <w:right w:val="single" w:color="FFC000" w:sz="24" w:space="0"/>
      </w:tblBorders>
    </w:tblPr>
    <w:tcPr>
      <w:shd w:val="clear" w:color="auto" w:fill="FFC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1">
    <w:name w:val="网格表 5 深色 - 着色 51"/>
    <w:basedOn w:val="15"/>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22">
    <w:name w:val="网格表 4 - 着色 51"/>
    <w:basedOn w:val="15"/>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3">
    <w:name w:val="网格表 4 - 着色 31"/>
    <w:basedOn w:val="15"/>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paragraph" w:customStyle="1" w:styleId="24">
    <w:name w:val="No Spacing"/>
    <w:qFormat/>
    <w:uiPriority w:val="1"/>
    <w:pPr>
      <w:widowControl w:val="0"/>
      <w:jc w:val="both"/>
    </w:pPr>
    <w:rPr>
      <w:rFonts w:ascii="等线" w:hAnsi="等线" w:eastAsia="等线" w:cs="Times New Roman"/>
      <w:kern w:val="2"/>
      <w:sz w:val="21"/>
      <w:szCs w:val="22"/>
      <w:lang w:val="en-US" w:eastAsia="zh-CN" w:bidi="ar-SA"/>
    </w:rPr>
  </w:style>
  <w:style w:type="table" w:customStyle="1" w:styleId="25">
    <w:name w:val="网格表 21"/>
    <w:basedOn w:val="15"/>
    <w:qFormat/>
    <w:uiPriority w:val="47"/>
    <w:tblPr>
      <w:tblBorders>
        <w:top w:val="single" w:color="666666" w:sz="2" w:space="0"/>
        <w:bottom w:val="single" w:color="666666" w:sz="2" w:space="0"/>
        <w:insideH w:val="single" w:color="666666" w:sz="2" w:space="0"/>
        <w:insideV w:val="single" w:color="666666" w:sz="2" w:space="0"/>
      </w:tblBorders>
    </w:tblPr>
    <w:tblStylePr w:type="firstRow">
      <w:rPr>
        <w:b/>
        <w:bCs/>
      </w:rPr>
      <w:tcPr>
        <w:tcBorders>
          <w:top w:val="nil"/>
          <w:bottom w:val="single" w:color="666666" w:sz="12" w:space="0"/>
          <w:insideH w:val="nil"/>
          <w:insideV w:val="nil"/>
        </w:tcBorders>
        <w:shd w:val="clear" w:color="auto" w:fill="FFFFFF"/>
      </w:tcPr>
    </w:tblStylePr>
    <w:tblStylePr w:type="lastRow">
      <w:rPr>
        <w:b/>
        <w:bCs/>
      </w:rPr>
      <w:tcPr>
        <w:tcBorders>
          <w:top w:val="double" w:color="6666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6">
    <w:name w:val="网格表 2 - 着色 31"/>
    <w:basedOn w:val="15"/>
    <w:qFormat/>
    <w:uiPriority w:val="47"/>
    <w:tblPr>
      <w:tblBorders>
        <w:top w:val="single" w:color="C9C9C9" w:sz="2" w:space="0"/>
        <w:bottom w:val="single" w:color="C9C9C9" w:sz="2" w:space="0"/>
        <w:insideH w:val="single" w:color="C9C9C9" w:sz="2" w:space="0"/>
        <w:insideV w:val="single" w:color="C9C9C9" w:sz="2" w:space="0"/>
      </w:tblBorders>
    </w:tblPr>
    <w:tblStylePr w:type="firstRow">
      <w:rPr>
        <w:b/>
        <w:bCs/>
      </w:rPr>
      <w:tcPr>
        <w:tcBorders>
          <w:top w:val="nil"/>
          <w:bottom w:val="single" w:color="C9C9C9" w:sz="12" w:space="0"/>
          <w:insideH w:val="nil"/>
          <w:insideV w:val="nil"/>
        </w:tcBorders>
        <w:shd w:val="clear" w:color="auto" w:fill="FFFFFF"/>
      </w:tcPr>
    </w:tblStylePr>
    <w:tblStylePr w:type="lastRow">
      <w:rPr>
        <w:b/>
        <w:bCs/>
      </w:rPr>
      <w:tcPr>
        <w:tcBorders>
          <w:top w:val="double" w:color="C9C9C9"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character" w:customStyle="1" w:styleId="27">
    <w:name w:val="页眉 字符"/>
    <w:link w:val="8"/>
    <w:qFormat/>
    <w:uiPriority w:val="99"/>
    <w:rPr>
      <w:kern w:val="2"/>
      <w:sz w:val="18"/>
      <w:szCs w:val="18"/>
    </w:rPr>
  </w:style>
  <w:style w:type="character" w:customStyle="1" w:styleId="28">
    <w:name w:val="页脚 字符"/>
    <w:link w:val="7"/>
    <w:qFormat/>
    <w:uiPriority w:val="99"/>
    <w:rPr>
      <w:kern w:val="2"/>
      <w:sz w:val="18"/>
      <w:szCs w:val="18"/>
    </w:rPr>
  </w:style>
  <w:style w:type="character" w:customStyle="1" w:styleId="29">
    <w:name w:val="标题 1 字符"/>
    <w:link w:val="2"/>
    <w:qFormat/>
    <w:uiPriority w:val="9"/>
    <w:rPr>
      <w:b/>
      <w:bCs/>
      <w:kern w:val="44"/>
      <w:sz w:val="44"/>
      <w:szCs w:val="44"/>
    </w:rPr>
  </w:style>
  <w:style w:type="character" w:customStyle="1" w:styleId="30">
    <w:name w:val="标题 2 字符"/>
    <w:link w:val="3"/>
    <w:qFormat/>
    <w:uiPriority w:val="9"/>
    <w:rPr>
      <w:rFonts w:ascii="等线 Light" w:hAnsi="等线 Light" w:eastAsia="等线 Light" w:cs="Times New Roman"/>
      <w:b/>
      <w:bCs/>
      <w:kern w:val="2"/>
      <w:sz w:val="32"/>
      <w:szCs w:val="32"/>
    </w:rPr>
  </w:style>
  <w:style w:type="paragraph" w:customStyle="1" w:styleId="31">
    <w:name w:val="TOC 标题1"/>
    <w:basedOn w:val="2"/>
    <w:next w:val="1"/>
    <w:unhideWhenUsed/>
    <w:qFormat/>
    <w:uiPriority w:val="39"/>
    <w:pPr>
      <w:widowControl/>
      <w:spacing w:before="240" w:after="0" w:line="259" w:lineRule="auto"/>
      <w:jc w:val="left"/>
      <w:outlineLvl w:val="9"/>
    </w:pPr>
    <w:rPr>
      <w:rFonts w:ascii="等线 Light" w:hAnsi="等线 Light" w:eastAsia="等线 Light"/>
      <w:b w:val="0"/>
      <w:bCs w:val="0"/>
      <w:color w:val="2F5496"/>
      <w:kern w:val="0"/>
      <w:sz w:val="32"/>
      <w:szCs w:val="32"/>
    </w:rPr>
  </w:style>
  <w:style w:type="character" w:customStyle="1" w:styleId="32">
    <w:name w:val="标题 3 字符"/>
    <w:link w:val="4"/>
    <w:qFormat/>
    <w:uiPriority w:val="9"/>
    <w:rPr>
      <w:b/>
      <w:bCs/>
      <w:kern w:val="2"/>
      <w:sz w:val="32"/>
      <w:szCs w:val="32"/>
    </w:rPr>
  </w:style>
  <w:style w:type="character" w:customStyle="1" w:styleId="33">
    <w:name w:val="标题 4 字符"/>
    <w:link w:val="5"/>
    <w:qFormat/>
    <w:uiPriority w:val="9"/>
    <w:rPr>
      <w:rFonts w:ascii="等线 Light" w:hAnsi="等线 Light" w:eastAsia="等线 Light" w:cs="Times New Roman"/>
      <w:b/>
      <w:bCs/>
      <w:kern w:val="2"/>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62</Words>
  <Characters>358</Characters>
  <Lines>2</Lines>
  <Paragraphs>1</Paragraphs>
  <ScaleCrop>false</ScaleCrop>
  <LinksUpToDate>false</LinksUpToDate>
  <CharactersWithSpaces>419</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2018-10-24T22:43:00Z</dcterms:created>
  <dc:creator>唐忱</dc:creator>
  <cp:lastModifiedBy>youyongsheng</cp:lastModifiedBy>
  <dcterms:modified xsi:type="dcterms:W3CDTF">2022-10-25T11:12:34Z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y fmtid="{D5CDD505-2E9C-101B-9397-08002B2CF9AE}" pid="3" name="ICV">
    <vt:lpwstr>5E0D7A4F4AD06D3612492463584B14D9</vt:lpwstr>
  </property>
</Properties>
</file>